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ind w:firstLine="320" w:firstLineChars="100"/>
        <w:jc w:val="center"/>
        <w:rPr>
          <w:rFonts w:ascii="仿宋_GB2312" w:hAnsi="黑体" w:eastAsia="仿宋_GB2312" w:cs="宋体"/>
          <w:color w:val="000000" w:themeColor="text1"/>
          <w:kern w:val="0"/>
          <w:sz w:val="32"/>
          <w:szCs w:val="32"/>
          <w14:textFill>
            <w14:solidFill>
              <w14:schemeClr w14:val="tx1"/>
            </w14:solidFill>
          </w14:textFill>
        </w:rPr>
      </w:pPr>
      <w:r>
        <w:rPr>
          <w:rFonts w:hint="eastAsia" w:ascii="仿宋_GB2312" w:hAnsi="黑体" w:eastAsia="仿宋_GB2312"/>
          <w:color w:val="000000" w:themeColor="text1"/>
          <w:kern w:val="0"/>
          <w:sz w:val="32"/>
          <w:szCs w:val="32"/>
          <w14:textFill>
            <w14:solidFill>
              <w14:schemeClr w14:val="tx1"/>
            </w14:solidFill>
          </w14:textFill>
        </w:rPr>
        <w:t>附件1</w:t>
      </w:r>
    </w:p>
    <w:p>
      <w:pPr>
        <w:snapToGrid w:val="0"/>
        <w:spacing w:after="156" w:afterLines="50"/>
        <w:ind w:firstLine="1440" w:firstLineChars="400"/>
        <w:jc w:val="center"/>
        <w:outlineLvl w:val="0"/>
        <w:rPr>
          <w:rFonts w:ascii="方正小标宋简体" w:hAnsi="Times New Roman" w:eastAsia="方正小标宋简体" w:cs="宋体"/>
          <w:color w:val="000000" w:themeColor="text1"/>
          <w:kern w:val="0"/>
          <w:sz w:val="36"/>
          <w:szCs w:val="36"/>
          <w14:textFill>
            <w14:solidFill>
              <w14:schemeClr w14:val="tx1"/>
            </w14:solidFill>
          </w14:textFill>
        </w:rPr>
      </w:pPr>
      <w:r>
        <w:rPr>
          <w:rFonts w:hint="eastAsia" w:ascii="方正小标宋简体" w:hAnsi="Times New Roman" w:eastAsia="方正小标宋简体" w:cs="宋体"/>
          <w:color w:val="000000" w:themeColor="text1"/>
          <w:kern w:val="0"/>
          <w:sz w:val="36"/>
          <w:szCs w:val="36"/>
          <w14:textFill>
            <w14:solidFill>
              <w14:schemeClr w14:val="tx1"/>
            </w14:solidFill>
          </w14:textFill>
        </w:rPr>
        <w:t>“计分卡”指标及相关内涵说明</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计分卡”系综合衡量中职学校人才培养质量的管理评价工具，其关键指标包括：中职生毕业半年后的就业率、月收入、理工农医类专业相关度、学校满意度和自主创业比例等反映就业数量和质量的指标。所有的指标建议选取学生毕业半年后到一年之间某个时点进行调查。</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1.“月收入”指包含奖金、提成、住宿、住房公积金等折算成的现金总和。</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理工农医类专业相关度”指理工农医类专业的毕业生认为所从事的工作与所学专业相关的比例，分母是本单位调查时理工农医类专业就业的毕业生人数，分子是本单位理工农医类专业的毕业生认为所从事的工作与所学专业相关的毕业生人数。</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3.“学校满意度”指本单位中职毕业生对母校表示满意的比例。</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4.“雇主满意度”指录用应届中职毕业生的单位或部门对录用学生的满意度评价。</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5.“专业大类月收入”指按《中等职业学校专业目录》（2010修订版）规定的各大类中职专业毕业生的人均月收入，可另附表（“雇主满意度”和“专业大类月收入”为选填指标，建议有条件的学校和地区可将其纳入“计分卡”）。</w:t>
      </w:r>
    </w:p>
    <w:p>
      <w:pPr>
        <w:spacing w:line="560" w:lineRule="exact"/>
        <w:jc w:val="center"/>
        <w:rPr>
          <w:rFonts w:ascii="黑体" w:hAnsi="黑体" w:eastAsia="黑体"/>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br w:type="page"/>
      </w:r>
      <w:r>
        <w:rPr>
          <w:rFonts w:hint="eastAsia" w:ascii="黑体" w:hAnsi="黑体" w:eastAsia="黑体"/>
          <w:color w:val="000000" w:themeColor="text1"/>
          <w:sz w:val="32"/>
          <w:szCs w:val="32"/>
          <w14:textFill>
            <w14:solidFill>
              <w14:schemeClr w14:val="tx1"/>
            </w14:solidFill>
          </w14:textFill>
        </w:rPr>
        <w:t>表1 计分卡</w:t>
      </w:r>
    </w:p>
    <w:tbl>
      <w:tblPr>
        <w:tblStyle w:val="8"/>
        <w:tblW w:w="8710" w:type="dxa"/>
        <w:jc w:val="center"/>
        <w:tblInd w:w="0" w:type="dxa"/>
        <w:tblLayout w:type="fixed"/>
        <w:tblCellMar>
          <w:top w:w="0" w:type="dxa"/>
          <w:left w:w="108" w:type="dxa"/>
          <w:bottom w:w="0" w:type="dxa"/>
          <w:right w:w="108" w:type="dxa"/>
        </w:tblCellMar>
      </w:tblPr>
      <w:tblGrid>
        <w:gridCol w:w="744"/>
        <w:gridCol w:w="909"/>
        <w:gridCol w:w="473"/>
        <w:gridCol w:w="3506"/>
        <w:gridCol w:w="698"/>
        <w:gridCol w:w="1196"/>
        <w:gridCol w:w="1184"/>
      </w:tblGrid>
      <w:tr>
        <w:tblPrEx>
          <w:tblLayout w:type="fixed"/>
          <w:tblCellMar>
            <w:top w:w="0" w:type="dxa"/>
            <w:left w:w="108" w:type="dxa"/>
            <w:bottom w:w="0" w:type="dxa"/>
            <w:right w:w="108" w:type="dxa"/>
          </w:tblCellMar>
        </w:tblPrEx>
        <w:trPr>
          <w:trHeight w:val="707" w:hRule="atLeast"/>
          <w:jc w:val="center"/>
        </w:trPr>
        <w:tc>
          <w:tcPr>
            <w:tcW w:w="744" w:type="dxa"/>
            <w:tcBorders>
              <w:top w:val="single" w:color="auto" w:sz="4" w:space="0"/>
              <w:left w:val="single" w:color="auto" w:sz="4" w:space="0"/>
              <w:bottom w:val="single" w:color="auto" w:sz="4" w:space="0"/>
            </w:tcBorders>
          </w:tcPr>
          <w:p>
            <w:pPr>
              <w:widowControl/>
              <w:snapToGrid w:val="0"/>
              <w:spacing w:line="312" w:lineRule="auto"/>
              <w:jc w:val="center"/>
              <w:rPr>
                <w:rFonts w:ascii="仿宋_GB2312" w:hAnsi="宋体" w:eastAsia="仿宋_GB2312" w:cs="宋体"/>
                <w:b/>
                <w:bCs/>
                <w:color w:val="000000" w:themeColor="text1"/>
                <w:kern w:val="0"/>
                <w:sz w:val="24"/>
                <w:szCs w:val="24"/>
                <w14:textFill>
                  <w14:solidFill>
                    <w14:schemeClr w14:val="tx1"/>
                  </w14:solidFill>
                </w14:textFill>
              </w:rPr>
            </w:pPr>
            <w:r>
              <w:rPr>
                <w:rFonts w:hint="eastAsia" w:ascii="仿宋_GB2312" w:hAnsi="宋体" w:eastAsia="仿宋_GB2312" w:cs="宋体"/>
                <w:b/>
                <w:bCs/>
                <w:color w:val="000000" w:themeColor="text1"/>
                <w:kern w:val="0"/>
                <w:sz w:val="24"/>
                <w:szCs w:val="24"/>
                <w14:textFill>
                  <w14:solidFill>
                    <w14:schemeClr w14:val="tx1"/>
                  </w14:solidFill>
                </w14:textFill>
              </w:rPr>
              <w:t>院校代码</w:t>
            </w:r>
          </w:p>
        </w:tc>
        <w:tc>
          <w:tcPr>
            <w:tcW w:w="909" w:type="dxa"/>
            <w:tcBorders>
              <w:top w:val="single" w:color="auto" w:sz="4" w:space="0"/>
              <w:left w:val="single" w:color="auto" w:sz="4" w:space="0"/>
              <w:bottom w:val="single" w:color="auto" w:sz="4" w:space="0"/>
            </w:tcBorders>
          </w:tcPr>
          <w:p>
            <w:pPr>
              <w:widowControl/>
              <w:snapToGrid w:val="0"/>
              <w:spacing w:line="312" w:lineRule="auto"/>
              <w:jc w:val="center"/>
              <w:rPr>
                <w:rFonts w:ascii="仿宋_GB2312" w:hAnsi="宋体" w:eastAsia="仿宋_GB2312" w:cs="宋体"/>
                <w:b/>
                <w:bCs/>
                <w:color w:val="000000" w:themeColor="text1"/>
                <w:kern w:val="0"/>
                <w:sz w:val="24"/>
                <w:szCs w:val="24"/>
                <w14:textFill>
                  <w14:solidFill>
                    <w14:schemeClr w14:val="tx1"/>
                  </w14:solidFill>
                </w14:textFill>
              </w:rPr>
            </w:pPr>
            <w:r>
              <w:rPr>
                <w:rFonts w:hint="eastAsia" w:ascii="仿宋_GB2312" w:hAnsi="宋体" w:eastAsia="仿宋_GB2312" w:cs="宋体"/>
                <w:b/>
                <w:bCs/>
                <w:color w:val="000000" w:themeColor="text1"/>
                <w:kern w:val="0"/>
                <w:sz w:val="24"/>
                <w:szCs w:val="24"/>
                <w14:textFill>
                  <w14:solidFill>
                    <w14:schemeClr w14:val="tx1"/>
                  </w14:solidFill>
                </w14:textFill>
              </w:rPr>
              <w:t>院校名称</w:t>
            </w:r>
          </w:p>
        </w:tc>
        <w:tc>
          <w:tcPr>
            <w:tcW w:w="3979"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b/>
                <w:bCs/>
                <w:color w:val="000000" w:themeColor="text1"/>
                <w:kern w:val="0"/>
                <w:sz w:val="24"/>
                <w:szCs w:val="24"/>
                <w14:textFill>
                  <w14:solidFill>
                    <w14:schemeClr w14:val="tx1"/>
                  </w14:solidFill>
                </w14:textFill>
              </w:rPr>
            </w:pPr>
            <w:r>
              <w:rPr>
                <w:rFonts w:hint="eastAsia" w:ascii="仿宋_GB2312" w:hAnsi="宋体" w:eastAsia="仿宋_GB2312" w:cs="宋体"/>
                <w:b/>
                <w:bCs/>
                <w:color w:val="000000" w:themeColor="text1"/>
                <w:kern w:val="0"/>
                <w:sz w:val="24"/>
                <w:szCs w:val="24"/>
                <w14:textFill>
                  <w14:solidFill>
                    <w14:schemeClr w14:val="tx1"/>
                  </w14:solidFill>
                </w14:textFill>
              </w:rPr>
              <w:t>指标</w:t>
            </w:r>
          </w:p>
        </w:tc>
        <w:tc>
          <w:tcPr>
            <w:tcW w:w="698" w:type="dxa"/>
            <w:tcBorders>
              <w:top w:val="single" w:color="auto" w:sz="4" w:space="0"/>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b/>
                <w:bCs/>
                <w:color w:val="000000" w:themeColor="text1"/>
                <w:kern w:val="0"/>
                <w:sz w:val="24"/>
                <w:szCs w:val="24"/>
                <w14:textFill>
                  <w14:solidFill>
                    <w14:schemeClr w14:val="tx1"/>
                  </w14:solidFill>
                </w14:textFill>
              </w:rPr>
            </w:pPr>
            <w:r>
              <w:rPr>
                <w:rFonts w:hint="eastAsia" w:ascii="仿宋_GB2312" w:hAnsi="宋体" w:eastAsia="仿宋_GB2312" w:cs="宋体"/>
                <w:b/>
                <w:bCs/>
                <w:color w:val="000000" w:themeColor="text1"/>
                <w:kern w:val="0"/>
                <w:sz w:val="24"/>
                <w:szCs w:val="24"/>
                <w14:textFill>
                  <w14:solidFill>
                    <w14:schemeClr w14:val="tx1"/>
                  </w14:solidFill>
                </w14:textFill>
              </w:rPr>
              <w:t>单位</w:t>
            </w:r>
          </w:p>
        </w:tc>
        <w:tc>
          <w:tcPr>
            <w:tcW w:w="1196" w:type="dxa"/>
            <w:tcBorders>
              <w:top w:val="single" w:color="auto" w:sz="4" w:space="0"/>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b/>
                <w:bCs/>
                <w:color w:val="000000" w:themeColor="text1"/>
                <w:kern w:val="0"/>
                <w:sz w:val="24"/>
                <w:szCs w:val="24"/>
                <w14:textFill>
                  <w14:solidFill>
                    <w14:schemeClr w14:val="tx1"/>
                  </w14:solidFill>
                </w14:textFill>
              </w:rPr>
            </w:pPr>
            <w:r>
              <w:rPr>
                <w:rFonts w:hint="eastAsia" w:ascii="仿宋_GB2312" w:hAnsi="宋体" w:eastAsia="仿宋_GB2312" w:cs="宋体"/>
                <w:b/>
                <w:bCs/>
                <w:color w:val="000000" w:themeColor="text1"/>
                <w:kern w:val="0"/>
                <w:sz w:val="24"/>
                <w:szCs w:val="24"/>
                <w14:textFill>
                  <w14:solidFill>
                    <w14:schemeClr w14:val="tx1"/>
                  </w14:solidFill>
                </w14:textFill>
              </w:rPr>
              <w:t>2016年</w:t>
            </w:r>
          </w:p>
        </w:tc>
        <w:tc>
          <w:tcPr>
            <w:tcW w:w="1184" w:type="dxa"/>
            <w:tcBorders>
              <w:top w:val="single" w:color="auto" w:sz="4" w:space="0"/>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b/>
                <w:bCs/>
                <w:color w:val="000000" w:themeColor="text1"/>
                <w:kern w:val="0"/>
                <w:sz w:val="24"/>
                <w:szCs w:val="24"/>
                <w14:textFill>
                  <w14:solidFill>
                    <w14:schemeClr w14:val="tx1"/>
                  </w14:solidFill>
                </w14:textFill>
              </w:rPr>
            </w:pPr>
            <w:r>
              <w:rPr>
                <w:rFonts w:hint="eastAsia" w:ascii="仿宋_GB2312" w:hAnsi="宋体" w:eastAsia="仿宋_GB2312" w:cs="宋体"/>
                <w:b/>
                <w:bCs/>
                <w:color w:val="000000" w:themeColor="text1"/>
                <w:kern w:val="0"/>
                <w:sz w:val="24"/>
                <w:szCs w:val="24"/>
                <w14:textFill>
                  <w14:solidFill>
                    <w14:schemeClr w14:val="tx1"/>
                  </w14:solidFill>
                </w14:textFill>
              </w:rPr>
              <w:t>2017年</w:t>
            </w:r>
          </w:p>
        </w:tc>
      </w:tr>
      <w:tr>
        <w:tblPrEx>
          <w:tblLayout w:type="fixed"/>
          <w:tblCellMar>
            <w:top w:w="0" w:type="dxa"/>
            <w:left w:w="108" w:type="dxa"/>
            <w:bottom w:w="0" w:type="dxa"/>
            <w:right w:w="108" w:type="dxa"/>
          </w:tblCellMar>
        </w:tblPrEx>
        <w:trPr>
          <w:trHeight w:val="285" w:hRule="atLeast"/>
          <w:jc w:val="center"/>
        </w:trPr>
        <w:tc>
          <w:tcPr>
            <w:tcW w:w="744" w:type="dxa"/>
            <w:vMerge w:val="restart"/>
            <w:tcBorders>
              <w:top w:val="single" w:color="auto" w:sz="4" w:space="0"/>
              <w:left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909" w:type="dxa"/>
            <w:vMerge w:val="restart"/>
            <w:tcBorders>
              <w:top w:val="single" w:color="auto" w:sz="4" w:space="0"/>
              <w:left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473" w:type="dxa"/>
            <w:tcBorders>
              <w:top w:val="nil"/>
              <w:left w:val="single" w:color="auto" w:sz="4" w:space="0"/>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1</w:t>
            </w:r>
          </w:p>
        </w:tc>
        <w:tc>
          <w:tcPr>
            <w:tcW w:w="3506"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就业率</w:t>
            </w:r>
          </w:p>
        </w:tc>
        <w:tc>
          <w:tcPr>
            <w:tcW w:w="698"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w:t>
            </w:r>
          </w:p>
        </w:tc>
        <w:tc>
          <w:tcPr>
            <w:tcW w:w="1196" w:type="dxa"/>
            <w:tcBorders>
              <w:top w:val="nil"/>
              <w:left w:val="nil"/>
              <w:bottom w:val="single" w:color="auto" w:sz="4" w:space="0"/>
              <w:right w:val="single" w:color="auto" w:sz="4" w:space="0"/>
            </w:tcBorders>
            <w:vAlign w:val="center"/>
          </w:tcPr>
          <w:p>
            <w:pPr>
              <w:widowControl/>
              <w:snapToGrid w:val="0"/>
              <w:spacing w:line="312" w:lineRule="auto"/>
              <w:ind w:firstLine="480" w:firstLineChars="200"/>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94.8</w:t>
            </w:r>
          </w:p>
        </w:tc>
        <w:tc>
          <w:tcPr>
            <w:tcW w:w="1184"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95.9</w:t>
            </w:r>
          </w:p>
        </w:tc>
      </w:tr>
      <w:tr>
        <w:tblPrEx>
          <w:tblLayout w:type="fixed"/>
          <w:tblCellMar>
            <w:top w:w="0" w:type="dxa"/>
            <w:left w:w="108" w:type="dxa"/>
            <w:bottom w:w="0" w:type="dxa"/>
            <w:right w:w="108" w:type="dxa"/>
          </w:tblCellMar>
        </w:tblPrEx>
        <w:trPr>
          <w:trHeight w:val="285" w:hRule="atLeast"/>
          <w:jc w:val="center"/>
        </w:trPr>
        <w:tc>
          <w:tcPr>
            <w:tcW w:w="744" w:type="dxa"/>
            <w:vMerge w:val="continue"/>
            <w:tcBorders>
              <w:left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909" w:type="dxa"/>
            <w:vMerge w:val="continue"/>
            <w:tcBorders>
              <w:left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473" w:type="dxa"/>
            <w:tcBorders>
              <w:top w:val="nil"/>
              <w:left w:val="single" w:color="auto" w:sz="4" w:space="0"/>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2</w:t>
            </w:r>
          </w:p>
        </w:tc>
        <w:tc>
          <w:tcPr>
            <w:tcW w:w="3506"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月收入</w:t>
            </w:r>
          </w:p>
        </w:tc>
        <w:tc>
          <w:tcPr>
            <w:tcW w:w="698"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元</w:t>
            </w:r>
          </w:p>
        </w:tc>
        <w:tc>
          <w:tcPr>
            <w:tcW w:w="1196" w:type="dxa"/>
            <w:tcBorders>
              <w:top w:val="nil"/>
              <w:left w:val="nil"/>
              <w:bottom w:val="single" w:color="auto" w:sz="4" w:space="0"/>
              <w:right w:val="single" w:color="auto" w:sz="4" w:space="0"/>
            </w:tcBorders>
            <w:vAlign w:val="center"/>
          </w:tcPr>
          <w:p>
            <w:pPr>
              <w:widowControl/>
              <w:snapToGrid w:val="0"/>
              <w:spacing w:line="312" w:lineRule="auto"/>
              <w:ind w:firstLine="480" w:firstLineChars="200"/>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1980</w:t>
            </w:r>
          </w:p>
        </w:tc>
        <w:tc>
          <w:tcPr>
            <w:tcW w:w="1184"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2100</w:t>
            </w:r>
          </w:p>
        </w:tc>
      </w:tr>
      <w:tr>
        <w:tblPrEx>
          <w:tblLayout w:type="fixed"/>
          <w:tblCellMar>
            <w:top w:w="0" w:type="dxa"/>
            <w:left w:w="108" w:type="dxa"/>
            <w:bottom w:w="0" w:type="dxa"/>
            <w:right w:w="108" w:type="dxa"/>
          </w:tblCellMar>
        </w:tblPrEx>
        <w:trPr>
          <w:trHeight w:val="285" w:hRule="atLeast"/>
          <w:jc w:val="center"/>
        </w:trPr>
        <w:tc>
          <w:tcPr>
            <w:tcW w:w="744" w:type="dxa"/>
            <w:vMerge w:val="continue"/>
            <w:tcBorders>
              <w:left w:val="single" w:color="auto" w:sz="4" w:space="0"/>
            </w:tcBorders>
          </w:tcPr>
          <w:p>
            <w:pPr>
              <w:widowControl/>
              <w:snapToGrid w:val="0"/>
              <w:spacing w:line="312" w:lineRule="auto"/>
              <w:ind w:firstLine="120" w:firstLineChars="50"/>
              <w:jc w:val="center"/>
              <w:rPr>
                <w:rFonts w:ascii="仿宋_GB2312" w:hAnsi="宋体" w:eastAsia="仿宋_GB2312" w:cs="宋体"/>
                <w:color w:val="000000" w:themeColor="text1"/>
                <w:kern w:val="0"/>
                <w:sz w:val="24"/>
                <w:szCs w:val="24"/>
                <w14:textFill>
                  <w14:solidFill>
                    <w14:schemeClr w14:val="tx1"/>
                  </w14:solidFill>
                </w14:textFill>
              </w:rPr>
            </w:pPr>
          </w:p>
        </w:tc>
        <w:tc>
          <w:tcPr>
            <w:tcW w:w="909" w:type="dxa"/>
            <w:vMerge w:val="continue"/>
            <w:tcBorders>
              <w:left w:val="single" w:color="auto" w:sz="4" w:space="0"/>
            </w:tcBorders>
          </w:tcPr>
          <w:p>
            <w:pPr>
              <w:widowControl/>
              <w:snapToGrid w:val="0"/>
              <w:spacing w:line="312" w:lineRule="auto"/>
              <w:ind w:firstLine="120" w:firstLineChars="50"/>
              <w:jc w:val="center"/>
              <w:rPr>
                <w:rFonts w:ascii="仿宋_GB2312" w:hAnsi="宋体" w:eastAsia="仿宋_GB2312" w:cs="宋体"/>
                <w:color w:val="000000" w:themeColor="text1"/>
                <w:kern w:val="0"/>
                <w:sz w:val="24"/>
                <w:szCs w:val="24"/>
                <w14:textFill>
                  <w14:solidFill>
                    <w14:schemeClr w14:val="tx1"/>
                  </w14:solidFill>
                </w14:textFill>
              </w:rPr>
            </w:pPr>
          </w:p>
        </w:tc>
        <w:tc>
          <w:tcPr>
            <w:tcW w:w="473" w:type="dxa"/>
            <w:tcBorders>
              <w:top w:val="nil"/>
              <w:left w:val="single" w:color="auto" w:sz="4" w:space="0"/>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3</w:t>
            </w:r>
          </w:p>
        </w:tc>
        <w:tc>
          <w:tcPr>
            <w:tcW w:w="3506"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理工农医类专业相关度</w:t>
            </w:r>
          </w:p>
        </w:tc>
        <w:tc>
          <w:tcPr>
            <w:tcW w:w="698"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w:t>
            </w:r>
          </w:p>
        </w:tc>
        <w:tc>
          <w:tcPr>
            <w:tcW w:w="1196" w:type="dxa"/>
            <w:tcBorders>
              <w:top w:val="nil"/>
              <w:left w:val="nil"/>
              <w:bottom w:val="single" w:color="auto" w:sz="4" w:space="0"/>
              <w:right w:val="single" w:color="auto" w:sz="4" w:space="0"/>
            </w:tcBorders>
            <w:vAlign w:val="center"/>
          </w:tcPr>
          <w:p>
            <w:pPr>
              <w:widowControl/>
              <w:snapToGrid w:val="0"/>
              <w:spacing w:line="312" w:lineRule="auto"/>
              <w:ind w:firstLine="480" w:firstLineChars="200"/>
              <w:jc w:val="center"/>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73.5</w:t>
            </w:r>
          </w:p>
        </w:tc>
        <w:tc>
          <w:tcPr>
            <w:tcW w:w="1184" w:type="dxa"/>
            <w:tcBorders>
              <w:top w:val="nil"/>
              <w:left w:val="nil"/>
              <w:bottom w:val="single" w:color="auto" w:sz="4" w:space="0"/>
              <w:right w:val="single" w:color="auto" w:sz="4" w:space="0"/>
            </w:tcBorders>
            <w:vAlign w:val="center"/>
          </w:tcPr>
          <w:p>
            <w:pPr>
              <w:widowControl/>
              <w:snapToGrid w:val="0"/>
              <w:spacing w:line="312" w:lineRule="auto"/>
              <w:jc w:val="center"/>
              <w:rPr>
                <w:rFonts w:hint="eastAsia" w:ascii="仿宋_GB2312" w:hAnsi="宋体" w:eastAsia="仿宋_GB2312" w:cs="宋体"/>
                <w:color w:val="000000" w:themeColor="text1"/>
                <w:kern w:val="0"/>
                <w:sz w:val="24"/>
                <w:szCs w:val="24"/>
                <w:lang w:val="en-US" w:eastAsia="zh-CN"/>
                <w14:textFill>
                  <w14:solidFill>
                    <w14:schemeClr w14:val="tx1"/>
                  </w14:solidFill>
                </w14:textFill>
              </w:rPr>
            </w:pP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76.2</w:t>
            </w:r>
          </w:p>
        </w:tc>
      </w:tr>
      <w:tr>
        <w:tblPrEx>
          <w:tblLayout w:type="fixed"/>
          <w:tblCellMar>
            <w:top w:w="0" w:type="dxa"/>
            <w:left w:w="108" w:type="dxa"/>
            <w:bottom w:w="0" w:type="dxa"/>
            <w:right w:w="108" w:type="dxa"/>
          </w:tblCellMar>
        </w:tblPrEx>
        <w:trPr>
          <w:trHeight w:val="285" w:hRule="atLeast"/>
          <w:jc w:val="center"/>
        </w:trPr>
        <w:tc>
          <w:tcPr>
            <w:tcW w:w="744" w:type="dxa"/>
            <w:vMerge w:val="continue"/>
            <w:tcBorders>
              <w:left w:val="single" w:color="auto" w:sz="4" w:space="0"/>
            </w:tcBorders>
          </w:tcPr>
          <w:p>
            <w:pPr>
              <w:widowControl/>
              <w:snapToGrid w:val="0"/>
              <w:spacing w:line="312" w:lineRule="auto"/>
              <w:ind w:firstLine="120" w:firstLineChars="50"/>
              <w:jc w:val="center"/>
              <w:rPr>
                <w:rFonts w:ascii="仿宋_GB2312" w:hAnsi="宋体" w:eastAsia="仿宋_GB2312" w:cs="宋体"/>
                <w:color w:val="000000" w:themeColor="text1"/>
                <w:kern w:val="0"/>
                <w:sz w:val="24"/>
                <w:szCs w:val="24"/>
                <w14:textFill>
                  <w14:solidFill>
                    <w14:schemeClr w14:val="tx1"/>
                  </w14:solidFill>
                </w14:textFill>
              </w:rPr>
            </w:pPr>
          </w:p>
        </w:tc>
        <w:tc>
          <w:tcPr>
            <w:tcW w:w="909" w:type="dxa"/>
            <w:vMerge w:val="continue"/>
            <w:tcBorders>
              <w:left w:val="single" w:color="auto" w:sz="4" w:space="0"/>
            </w:tcBorders>
          </w:tcPr>
          <w:p>
            <w:pPr>
              <w:widowControl/>
              <w:snapToGrid w:val="0"/>
              <w:spacing w:line="312" w:lineRule="auto"/>
              <w:ind w:firstLine="120" w:firstLineChars="50"/>
              <w:jc w:val="center"/>
              <w:rPr>
                <w:rFonts w:ascii="仿宋_GB2312" w:hAnsi="宋体" w:eastAsia="仿宋_GB2312" w:cs="宋体"/>
                <w:color w:val="000000" w:themeColor="text1"/>
                <w:kern w:val="0"/>
                <w:sz w:val="24"/>
                <w:szCs w:val="24"/>
                <w14:textFill>
                  <w14:solidFill>
                    <w14:schemeClr w14:val="tx1"/>
                  </w14:solidFill>
                </w14:textFill>
              </w:rPr>
            </w:pPr>
          </w:p>
        </w:tc>
        <w:tc>
          <w:tcPr>
            <w:tcW w:w="473" w:type="dxa"/>
            <w:tcBorders>
              <w:top w:val="nil"/>
              <w:left w:val="single" w:color="auto" w:sz="4" w:space="0"/>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4</w:t>
            </w:r>
          </w:p>
        </w:tc>
        <w:tc>
          <w:tcPr>
            <w:tcW w:w="3506"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学校满意度</w:t>
            </w:r>
          </w:p>
        </w:tc>
        <w:tc>
          <w:tcPr>
            <w:tcW w:w="698"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w:t>
            </w:r>
          </w:p>
        </w:tc>
        <w:tc>
          <w:tcPr>
            <w:tcW w:w="1196" w:type="dxa"/>
            <w:tcBorders>
              <w:top w:val="nil"/>
              <w:left w:val="nil"/>
              <w:bottom w:val="single" w:color="auto" w:sz="4" w:space="0"/>
              <w:right w:val="single" w:color="auto" w:sz="4" w:space="0"/>
            </w:tcBorders>
            <w:vAlign w:val="center"/>
          </w:tcPr>
          <w:p>
            <w:pPr>
              <w:widowControl/>
              <w:snapToGrid w:val="0"/>
              <w:spacing w:line="312" w:lineRule="auto"/>
              <w:ind w:left="0" w:leftChars="0" w:firstLine="0" w:firstLineChars="0"/>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14:textFill>
                  <w14:solidFill>
                    <w14:schemeClr w14:val="tx1"/>
                  </w14:solidFill>
                </w14:textFill>
              </w:rPr>
              <w:t>9</w:t>
            </w: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3</w:t>
            </w:r>
          </w:p>
        </w:tc>
        <w:tc>
          <w:tcPr>
            <w:tcW w:w="1184" w:type="dxa"/>
            <w:tcBorders>
              <w:top w:val="nil"/>
              <w:left w:val="nil"/>
              <w:bottom w:val="single" w:color="auto" w:sz="4" w:space="0"/>
              <w:right w:val="single" w:color="auto" w:sz="4" w:space="0"/>
            </w:tcBorders>
            <w:vAlign w:val="center"/>
          </w:tcPr>
          <w:p>
            <w:pPr>
              <w:widowControl/>
              <w:snapToGrid w:val="0"/>
              <w:spacing w:line="312" w:lineRule="auto"/>
              <w:ind w:left="0" w:leftChars="0" w:firstLine="0" w:firstLineChars="0"/>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14:textFill>
                  <w14:solidFill>
                    <w14:schemeClr w14:val="tx1"/>
                  </w14:solidFill>
                </w14:textFill>
              </w:rPr>
              <w:t>9</w:t>
            </w: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4</w:t>
            </w:r>
          </w:p>
        </w:tc>
      </w:tr>
      <w:tr>
        <w:tblPrEx>
          <w:tblLayout w:type="fixed"/>
          <w:tblCellMar>
            <w:top w:w="0" w:type="dxa"/>
            <w:left w:w="108" w:type="dxa"/>
            <w:bottom w:w="0" w:type="dxa"/>
            <w:right w:w="108" w:type="dxa"/>
          </w:tblCellMar>
        </w:tblPrEx>
        <w:trPr>
          <w:trHeight w:val="285" w:hRule="atLeast"/>
          <w:jc w:val="center"/>
        </w:trPr>
        <w:tc>
          <w:tcPr>
            <w:tcW w:w="744" w:type="dxa"/>
            <w:vMerge w:val="continue"/>
            <w:tcBorders>
              <w:left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909" w:type="dxa"/>
            <w:vMerge w:val="continue"/>
            <w:tcBorders>
              <w:left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473" w:type="dxa"/>
            <w:tcBorders>
              <w:top w:val="nil"/>
              <w:left w:val="single" w:color="auto" w:sz="4" w:space="0"/>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5</w:t>
            </w:r>
          </w:p>
        </w:tc>
        <w:tc>
          <w:tcPr>
            <w:tcW w:w="3506"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自主创业比例</w:t>
            </w:r>
          </w:p>
        </w:tc>
        <w:tc>
          <w:tcPr>
            <w:tcW w:w="698"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w:t>
            </w:r>
          </w:p>
        </w:tc>
        <w:tc>
          <w:tcPr>
            <w:tcW w:w="1196" w:type="dxa"/>
            <w:tcBorders>
              <w:top w:val="nil"/>
              <w:left w:val="nil"/>
              <w:bottom w:val="single" w:color="auto" w:sz="4" w:space="0"/>
              <w:right w:val="single" w:color="auto" w:sz="4" w:space="0"/>
            </w:tcBorders>
            <w:vAlign w:val="center"/>
          </w:tcPr>
          <w:p>
            <w:pPr>
              <w:widowControl/>
              <w:snapToGrid w:val="0"/>
              <w:spacing w:line="312" w:lineRule="auto"/>
              <w:ind w:left="0" w:leftChars="0" w:firstLine="0" w:firstLineChars="0"/>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14:textFill>
                  <w14:solidFill>
                    <w14:schemeClr w14:val="tx1"/>
                  </w14:solidFill>
                </w14:textFill>
              </w:rPr>
              <w:t>0.</w:t>
            </w: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25</w:t>
            </w:r>
          </w:p>
        </w:tc>
        <w:tc>
          <w:tcPr>
            <w:tcW w:w="1184" w:type="dxa"/>
            <w:tcBorders>
              <w:top w:val="nil"/>
              <w:left w:val="nil"/>
              <w:bottom w:val="single" w:color="auto" w:sz="4" w:space="0"/>
              <w:right w:val="single" w:color="auto" w:sz="4" w:space="0"/>
            </w:tcBorders>
            <w:vAlign w:val="center"/>
          </w:tcPr>
          <w:p>
            <w:pPr>
              <w:widowControl/>
              <w:snapToGrid w:val="0"/>
              <w:spacing w:line="312" w:lineRule="auto"/>
              <w:ind w:left="0" w:leftChars="0" w:firstLine="0" w:firstLineChars="0"/>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0</w:t>
            </w:r>
            <w:r>
              <w:rPr>
                <w:rFonts w:hint="eastAsia" w:ascii="FangSong_GB2312" w:hAnsi="宋体" w:eastAsia="FangSong_GB2312" w:cs="宋体"/>
                <w:color w:val="000000" w:themeColor="text1"/>
                <w:kern w:val="0"/>
                <w:sz w:val="24"/>
                <w:szCs w:val="24"/>
                <w14:textFill>
                  <w14:solidFill>
                    <w14:schemeClr w14:val="tx1"/>
                  </w14:solidFill>
                </w14:textFill>
              </w:rPr>
              <w:t>.</w:t>
            </w: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3</w:t>
            </w:r>
            <w:r>
              <w:rPr>
                <w:rFonts w:hint="eastAsia" w:ascii="FangSong_GB2312" w:hAnsi="宋体" w:eastAsia="FangSong_GB2312" w:cs="宋体"/>
                <w:color w:val="000000" w:themeColor="text1"/>
                <w:kern w:val="0"/>
                <w:sz w:val="24"/>
                <w:szCs w:val="24"/>
                <w14:textFill>
                  <w14:solidFill>
                    <w14:schemeClr w14:val="tx1"/>
                  </w14:solidFill>
                </w14:textFill>
              </w:rPr>
              <w:t>1</w:t>
            </w:r>
          </w:p>
        </w:tc>
      </w:tr>
      <w:tr>
        <w:tblPrEx>
          <w:tblLayout w:type="fixed"/>
          <w:tblCellMar>
            <w:top w:w="0" w:type="dxa"/>
            <w:left w:w="108" w:type="dxa"/>
            <w:bottom w:w="0" w:type="dxa"/>
            <w:right w:w="108" w:type="dxa"/>
          </w:tblCellMar>
        </w:tblPrEx>
        <w:trPr>
          <w:trHeight w:val="285" w:hRule="atLeast"/>
          <w:jc w:val="center"/>
        </w:trPr>
        <w:tc>
          <w:tcPr>
            <w:tcW w:w="744" w:type="dxa"/>
            <w:vMerge w:val="continue"/>
            <w:tcBorders>
              <w:left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909" w:type="dxa"/>
            <w:vMerge w:val="continue"/>
            <w:tcBorders>
              <w:left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473" w:type="dxa"/>
            <w:tcBorders>
              <w:top w:val="nil"/>
              <w:left w:val="single" w:color="auto" w:sz="4" w:space="0"/>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6</w:t>
            </w:r>
          </w:p>
        </w:tc>
        <w:tc>
          <w:tcPr>
            <w:tcW w:w="3506"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雇主满意度</w:t>
            </w:r>
          </w:p>
        </w:tc>
        <w:tc>
          <w:tcPr>
            <w:tcW w:w="698"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w:t>
            </w:r>
          </w:p>
        </w:tc>
        <w:tc>
          <w:tcPr>
            <w:tcW w:w="1196" w:type="dxa"/>
            <w:tcBorders>
              <w:top w:val="nil"/>
              <w:left w:val="nil"/>
              <w:bottom w:val="single" w:color="auto" w:sz="4" w:space="0"/>
              <w:right w:val="single" w:color="auto" w:sz="4" w:space="0"/>
            </w:tcBorders>
            <w:vAlign w:val="center"/>
          </w:tcPr>
          <w:p>
            <w:pPr>
              <w:widowControl/>
              <w:snapToGrid w:val="0"/>
              <w:spacing w:line="312" w:lineRule="auto"/>
              <w:ind w:left="0" w:leftChars="0" w:firstLine="0" w:firstLineChars="0"/>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14:textFill>
                  <w14:solidFill>
                    <w14:schemeClr w14:val="tx1"/>
                  </w14:solidFill>
                </w14:textFill>
              </w:rPr>
              <w:t>9</w:t>
            </w: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1</w:t>
            </w:r>
          </w:p>
        </w:tc>
        <w:tc>
          <w:tcPr>
            <w:tcW w:w="1184" w:type="dxa"/>
            <w:tcBorders>
              <w:top w:val="nil"/>
              <w:left w:val="nil"/>
              <w:bottom w:val="single" w:color="auto" w:sz="4" w:space="0"/>
              <w:right w:val="single" w:color="auto" w:sz="4" w:space="0"/>
            </w:tcBorders>
            <w:vAlign w:val="center"/>
          </w:tcPr>
          <w:p>
            <w:pPr>
              <w:widowControl/>
              <w:snapToGrid w:val="0"/>
              <w:spacing w:line="312" w:lineRule="auto"/>
              <w:ind w:left="0" w:leftChars="0" w:firstLine="0" w:firstLineChars="0"/>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14:textFill>
                  <w14:solidFill>
                    <w14:schemeClr w14:val="tx1"/>
                  </w14:solidFill>
                </w14:textFill>
              </w:rPr>
              <w:t>9</w:t>
            </w: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3</w:t>
            </w:r>
          </w:p>
        </w:tc>
      </w:tr>
      <w:tr>
        <w:tblPrEx>
          <w:tblLayout w:type="fixed"/>
          <w:tblCellMar>
            <w:top w:w="0" w:type="dxa"/>
            <w:left w:w="108" w:type="dxa"/>
            <w:bottom w:w="0" w:type="dxa"/>
            <w:right w:w="108" w:type="dxa"/>
          </w:tblCellMar>
        </w:tblPrEx>
        <w:trPr>
          <w:trHeight w:val="285" w:hRule="atLeast"/>
          <w:jc w:val="center"/>
        </w:trPr>
        <w:tc>
          <w:tcPr>
            <w:tcW w:w="744" w:type="dxa"/>
            <w:vMerge w:val="continue"/>
            <w:tcBorders>
              <w:left w:val="single" w:color="auto" w:sz="4" w:space="0"/>
              <w:bottom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909" w:type="dxa"/>
            <w:vMerge w:val="continue"/>
            <w:tcBorders>
              <w:left w:val="single" w:color="auto" w:sz="4" w:space="0"/>
              <w:bottom w:val="single" w:color="auto" w:sz="4" w:space="0"/>
            </w:tcBorders>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p>
        </w:tc>
        <w:tc>
          <w:tcPr>
            <w:tcW w:w="473" w:type="dxa"/>
            <w:tcBorders>
              <w:top w:val="nil"/>
              <w:left w:val="single" w:color="auto" w:sz="4" w:space="0"/>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7</w:t>
            </w:r>
          </w:p>
        </w:tc>
        <w:tc>
          <w:tcPr>
            <w:tcW w:w="3506"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专业大类月收入</w:t>
            </w:r>
          </w:p>
        </w:tc>
        <w:tc>
          <w:tcPr>
            <w:tcW w:w="698"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元</w:t>
            </w:r>
          </w:p>
        </w:tc>
        <w:tc>
          <w:tcPr>
            <w:tcW w:w="1196" w:type="dxa"/>
            <w:tcBorders>
              <w:top w:val="nil"/>
              <w:left w:val="nil"/>
              <w:bottom w:val="single" w:color="auto" w:sz="4" w:space="0"/>
              <w:right w:val="single" w:color="auto" w:sz="4" w:space="0"/>
            </w:tcBorders>
            <w:vAlign w:val="center"/>
          </w:tcPr>
          <w:p>
            <w:pPr>
              <w:widowControl/>
              <w:snapToGrid w:val="0"/>
              <w:spacing w:line="312" w:lineRule="auto"/>
              <w:ind w:firstLine="480" w:firstLineChars="200"/>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1980</w:t>
            </w:r>
          </w:p>
        </w:tc>
        <w:tc>
          <w:tcPr>
            <w:tcW w:w="1184" w:type="dxa"/>
            <w:tcBorders>
              <w:top w:val="nil"/>
              <w:left w:val="nil"/>
              <w:bottom w:val="single" w:color="auto" w:sz="4" w:space="0"/>
              <w:right w:val="single" w:color="auto" w:sz="4" w:space="0"/>
            </w:tcBorders>
            <w:vAlign w:val="center"/>
          </w:tcPr>
          <w:p>
            <w:pPr>
              <w:widowControl/>
              <w:snapToGrid w:val="0"/>
              <w:spacing w:line="312" w:lineRule="auto"/>
              <w:jc w:val="center"/>
              <w:rPr>
                <w:rFonts w:ascii="仿宋_GB2312" w:hAnsi="宋体" w:eastAsia="仿宋_GB2312" w:cs="宋体"/>
                <w:color w:val="000000" w:themeColor="text1"/>
                <w:kern w:val="0"/>
                <w:sz w:val="24"/>
                <w:szCs w:val="24"/>
                <w14:textFill>
                  <w14:solidFill>
                    <w14:schemeClr w14:val="tx1"/>
                  </w14:solidFill>
                </w14:textFill>
              </w:rPr>
            </w:pPr>
            <w:r>
              <w:rPr>
                <w:rFonts w:hint="eastAsia" w:ascii="FangSong_GB2312" w:hAnsi="宋体" w:eastAsia="FangSong_GB2312" w:cs="宋体"/>
                <w:color w:val="000000" w:themeColor="text1"/>
                <w:kern w:val="0"/>
                <w:sz w:val="24"/>
                <w:szCs w:val="24"/>
                <w:lang w:val="en-US" w:eastAsia="zh-CN"/>
                <w14:textFill>
                  <w14:solidFill>
                    <w14:schemeClr w14:val="tx1"/>
                  </w14:solidFill>
                </w14:textFill>
              </w:rPr>
              <w:t>2100</w:t>
            </w:r>
          </w:p>
        </w:tc>
      </w:tr>
    </w:tbl>
    <w:p>
      <w:pPr>
        <w:widowControl/>
        <w:snapToGrid w:val="0"/>
        <w:spacing w:line="560" w:lineRule="exact"/>
        <w:jc w:val="center"/>
        <w:rPr>
          <w:rFonts w:ascii="仿宋_GB2312" w:hAnsi="宋体" w:eastAsia="仿宋_GB2312" w:cs="宋体"/>
          <w:color w:val="000000" w:themeColor="text1"/>
          <w:kern w:val="0"/>
          <w:sz w:val="32"/>
          <w:szCs w:val="32"/>
          <w:shd w:val="clear" w:color="auto" w:fill="FFFFFF"/>
          <w14:textFill>
            <w14:solidFill>
              <w14:schemeClr w14:val="tx1"/>
            </w14:solidFill>
          </w14:textFill>
        </w:rPr>
      </w:pPr>
    </w:p>
    <w:p>
      <w:pPr>
        <w:widowControl/>
        <w:snapToGrid w:val="0"/>
        <w:spacing w:line="560" w:lineRule="exact"/>
        <w:jc w:val="center"/>
        <w:rPr>
          <w:rFonts w:ascii="仿宋_GB2312" w:hAnsi="黑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shd w:val="clear" w:color="auto" w:fill="FFFFFF"/>
          <w14:textFill>
            <w14:solidFill>
              <w14:schemeClr w14:val="tx1"/>
            </w14:solidFill>
          </w14:textFill>
        </w:rPr>
        <w:br w:type="page"/>
      </w:r>
      <w:r>
        <w:rPr>
          <w:rFonts w:hint="eastAsia" w:ascii="仿宋_GB2312" w:hAnsi="黑体" w:eastAsia="仿宋_GB2312"/>
          <w:color w:val="000000" w:themeColor="text1"/>
          <w:kern w:val="0"/>
          <w:sz w:val="32"/>
          <w:szCs w:val="32"/>
          <w14:textFill>
            <w14:solidFill>
              <w14:schemeClr w14:val="tx1"/>
            </w14:solidFill>
          </w14:textFill>
        </w:rPr>
        <w:t>附件2</w:t>
      </w:r>
    </w:p>
    <w:p>
      <w:pPr>
        <w:snapToGrid w:val="0"/>
        <w:spacing w:after="156" w:afterLines="50" w:line="312" w:lineRule="auto"/>
        <w:ind w:firstLine="1440" w:firstLineChars="400"/>
        <w:jc w:val="center"/>
        <w:outlineLvl w:val="0"/>
        <w:rPr>
          <w:rFonts w:ascii="方正小标宋简体" w:hAnsi="Times New Roman" w:eastAsia="方正小标宋简体" w:cs="宋体"/>
          <w:color w:val="000000" w:themeColor="text1"/>
          <w:kern w:val="0"/>
          <w:sz w:val="36"/>
          <w:szCs w:val="36"/>
          <w14:textFill>
            <w14:solidFill>
              <w14:schemeClr w14:val="tx1"/>
            </w14:solidFill>
          </w14:textFill>
        </w:rPr>
      </w:pPr>
      <w:r>
        <w:rPr>
          <w:rFonts w:hint="eastAsia" w:ascii="方正小标宋简体" w:hAnsi="Times New Roman" w:eastAsia="方正小标宋简体" w:cs="宋体"/>
          <w:color w:val="000000" w:themeColor="text1"/>
          <w:kern w:val="0"/>
          <w:sz w:val="36"/>
          <w:szCs w:val="36"/>
          <w14:textFill>
            <w14:solidFill>
              <w14:schemeClr w14:val="tx1"/>
            </w14:solidFill>
          </w14:textFill>
        </w:rPr>
        <w:t>“资源表”指标及相关内涵说明</w:t>
      </w:r>
    </w:p>
    <w:p>
      <w:pPr>
        <w:snapToGrid w:val="0"/>
        <w:spacing w:line="520" w:lineRule="exact"/>
        <w:ind w:firstLine="640" w:firstLineChars="200"/>
        <w:jc w:val="center"/>
        <w:rPr>
          <w:rFonts w:ascii="仿宋_GB2312" w:hAnsi="宋体"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“资源表”系</w:t>
      </w:r>
      <w:r>
        <w:rPr>
          <w:rFonts w:hint="eastAsia" w:ascii="仿宋_GB2312" w:eastAsia="仿宋_GB2312"/>
          <w:color w:val="000000" w:themeColor="text1"/>
          <w:sz w:val="32"/>
          <w:szCs w:val="32"/>
          <w14:textFill>
            <w14:solidFill>
              <w14:schemeClr w14:val="tx1"/>
            </w14:solidFill>
          </w14:textFill>
        </w:rPr>
        <w:t>反映中职学校基本办学条件的管理评价工具</w:t>
      </w:r>
      <w:r>
        <w:rPr>
          <w:rFonts w:hint="eastAsia" w:ascii="仿宋_GB2312" w:hAnsi="宋体" w:eastAsia="仿宋_GB2312"/>
          <w:color w:val="000000" w:themeColor="text1"/>
          <w:sz w:val="32"/>
          <w:szCs w:val="32"/>
          <w14:textFill>
            <w14:solidFill>
              <w14:schemeClr w14:val="tx1"/>
            </w14:solidFill>
          </w14:textFill>
        </w:rPr>
        <w:t>。</w:t>
      </w:r>
    </w:p>
    <w:p>
      <w:pPr>
        <w:widowControl/>
        <w:snapToGrid w:val="0"/>
        <w:spacing w:line="520" w:lineRule="exact"/>
        <w:ind w:firstLine="640" w:firstLineChars="200"/>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1.“生师比”=在校生数/教师总数</w:t>
      </w:r>
    </w:p>
    <w:p>
      <w:pPr>
        <w:widowControl/>
        <w:snapToGrid w:val="0"/>
        <w:spacing w:line="520" w:lineRule="exact"/>
        <w:ind w:firstLine="640" w:firstLineChars="200"/>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2.“双师型专任教师比例”=双师型专任教师人数/专任教师数</w:t>
      </w:r>
    </w:p>
    <w:p>
      <w:pPr>
        <w:widowControl/>
        <w:snapToGrid w:val="0"/>
        <w:spacing w:line="520" w:lineRule="exact"/>
        <w:ind w:firstLine="640" w:firstLineChars="200"/>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3.“专任教师人均企业实践时间”=校内专任教师行业企业一线工作时间总数/专任教师数</w:t>
      </w:r>
    </w:p>
    <w:p>
      <w:pPr>
        <w:widowControl/>
        <w:snapToGrid w:val="0"/>
        <w:spacing w:line="520" w:lineRule="exact"/>
        <w:ind w:firstLine="640" w:firstLineChars="200"/>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企业兼职教师专业课课时占比”=企业兼职教师承担的专业课课时总数/专业课课时总数。课程分为“纯理论课”（A类）、“实践+理论课”（B类）和“纯实践课”（C类）三种，此处的专业课课时为“纯实践课”（C类）课时与“实践+理论课”（B类）课时之和。</w:t>
      </w:r>
    </w:p>
    <w:p>
      <w:pPr>
        <w:widowControl/>
        <w:snapToGrid w:val="0"/>
        <w:spacing w:line="520" w:lineRule="exact"/>
        <w:ind w:firstLine="640" w:firstLineChars="200"/>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5.“生均教学科研仪器设备值”=教学科研仪器设备值/在校生数。学校在公布“生均教学科研仪器设备值”时，请以注释的形式注明学校类别：综合、师范、民族类院校，工科类院校，农林类院校，医学类院校，财经、政法类院校以及体育、艺术类院校等。</w:t>
      </w:r>
    </w:p>
    <w:p>
      <w:pPr>
        <w:widowControl/>
        <w:snapToGrid w:val="0"/>
        <w:spacing w:line="520" w:lineRule="exact"/>
        <w:ind w:firstLine="640" w:firstLineChars="200"/>
        <w:jc w:val="center"/>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6.“生均校内实践教学工位数”=校内实践教学工位总数/在校生数。</w:t>
      </w:r>
    </w:p>
    <w:p>
      <w:pPr>
        <w:widowControl/>
        <w:snapToGrid w:val="0"/>
        <w:spacing w:line="520" w:lineRule="exact"/>
        <w:ind w:firstLine="640" w:firstLineChars="200"/>
        <w:jc w:val="center"/>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7.“生均校外实习实训基地实习时间”=校外实习实训基地使用时间总数/在校生数</w:t>
      </w:r>
    </w:p>
    <w:p>
      <w:pPr>
        <w:widowControl/>
        <w:snapToGrid w:val="0"/>
        <w:spacing w:line="520" w:lineRule="exact"/>
        <w:ind w:firstLine="640" w:firstLineChars="200"/>
        <w:jc w:val="center"/>
        <w:rPr>
          <w:rFonts w:ascii="仿宋_GB2312" w:hAnsi="宋体" w:eastAsia="仿宋_GB2312" w:cs="宋体"/>
          <w:color w:val="000000" w:themeColor="text1"/>
          <w:kern w:val="0"/>
          <w:sz w:val="32"/>
          <w:szCs w:val="32"/>
          <w14:textFill>
            <w14:solidFill>
              <w14:schemeClr w14:val="tx1"/>
            </w14:solidFill>
          </w14:textFill>
        </w:rPr>
      </w:pPr>
    </w:p>
    <w:p>
      <w:pPr>
        <w:widowControl/>
        <w:snapToGrid w:val="0"/>
        <w:spacing w:line="520" w:lineRule="exact"/>
        <w:ind w:firstLine="640" w:firstLineChars="200"/>
        <w:jc w:val="center"/>
        <w:rPr>
          <w:rFonts w:ascii="仿宋_GB2312" w:hAnsi="宋体" w:eastAsia="仿宋_GB2312" w:cs="宋体"/>
          <w:color w:val="000000" w:themeColor="text1"/>
          <w:kern w:val="0"/>
          <w:sz w:val="32"/>
          <w:szCs w:val="32"/>
          <w14:textFill>
            <w14:solidFill>
              <w14:schemeClr w14:val="tx1"/>
            </w14:solidFill>
          </w14:textFill>
        </w:rPr>
      </w:pPr>
    </w:p>
    <w:p>
      <w:pPr>
        <w:widowControl/>
        <w:snapToGrid w:val="0"/>
        <w:spacing w:line="312" w:lineRule="auto"/>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表2 资源表</w:t>
      </w:r>
    </w:p>
    <w:tbl>
      <w:tblPr>
        <w:tblStyle w:val="8"/>
        <w:tblW w:w="8840" w:type="dxa"/>
        <w:tblInd w:w="0" w:type="dxa"/>
        <w:tblLayout w:type="fixed"/>
        <w:tblCellMar>
          <w:top w:w="0" w:type="dxa"/>
          <w:left w:w="108" w:type="dxa"/>
          <w:bottom w:w="0" w:type="dxa"/>
          <w:right w:w="108" w:type="dxa"/>
        </w:tblCellMar>
      </w:tblPr>
      <w:tblGrid>
        <w:gridCol w:w="756"/>
        <w:gridCol w:w="869"/>
        <w:gridCol w:w="436"/>
        <w:gridCol w:w="3599"/>
        <w:gridCol w:w="1078"/>
        <w:gridCol w:w="1051"/>
        <w:gridCol w:w="1051"/>
      </w:tblGrid>
      <w:tr>
        <w:tblPrEx>
          <w:tblLayout w:type="fixed"/>
          <w:tblCellMar>
            <w:top w:w="0" w:type="dxa"/>
            <w:left w:w="108" w:type="dxa"/>
            <w:bottom w:w="0" w:type="dxa"/>
            <w:right w:w="108" w:type="dxa"/>
          </w:tblCellMar>
        </w:tblPrEx>
        <w:trPr>
          <w:trHeight w:val="288" w:hRule="atLeast"/>
        </w:trPr>
        <w:tc>
          <w:tcPr>
            <w:tcW w:w="7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院校代码</w:t>
            </w:r>
          </w:p>
        </w:tc>
        <w:tc>
          <w:tcPr>
            <w:tcW w:w="86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院校名称</w:t>
            </w:r>
          </w:p>
        </w:tc>
        <w:tc>
          <w:tcPr>
            <w:tcW w:w="4035"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指标</w:t>
            </w:r>
          </w:p>
        </w:tc>
        <w:tc>
          <w:tcPr>
            <w:tcW w:w="107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单位</w:t>
            </w:r>
          </w:p>
        </w:tc>
        <w:tc>
          <w:tcPr>
            <w:tcW w:w="105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2016年</w:t>
            </w:r>
          </w:p>
        </w:tc>
        <w:tc>
          <w:tcPr>
            <w:tcW w:w="105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2017年</w:t>
            </w:r>
          </w:p>
        </w:tc>
      </w:tr>
      <w:tr>
        <w:tblPrEx>
          <w:tblLayout w:type="fixed"/>
          <w:tblCellMar>
            <w:top w:w="0" w:type="dxa"/>
            <w:left w:w="108" w:type="dxa"/>
            <w:bottom w:w="0" w:type="dxa"/>
            <w:right w:w="108" w:type="dxa"/>
          </w:tblCellMar>
        </w:tblPrEx>
        <w:trPr>
          <w:trHeight w:val="468" w:hRule="atLeast"/>
        </w:trPr>
        <w:tc>
          <w:tcPr>
            <w:tcW w:w="756" w:type="dxa"/>
            <w:vMerge w:val="restart"/>
            <w:tcBorders>
              <w:top w:val="nil"/>
              <w:left w:val="single" w:color="auto" w:sz="4" w:space="0"/>
              <w:bottom w:val="single" w:color="auto" w:sz="4" w:space="0"/>
              <w:right w:val="single" w:color="auto" w:sz="4" w:space="0"/>
            </w:tcBorders>
            <w:shd w:val="clear" w:color="000000" w:fill="FFFFFF"/>
            <w:vAlign w:val="bottom"/>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69" w:type="dxa"/>
            <w:vMerge w:val="restart"/>
            <w:tcBorders>
              <w:top w:val="nil"/>
              <w:left w:val="single" w:color="auto" w:sz="4" w:space="0"/>
              <w:bottom w:val="single" w:color="auto" w:sz="4" w:space="0"/>
              <w:right w:val="single" w:color="auto" w:sz="4" w:space="0"/>
            </w:tcBorders>
            <w:shd w:val="clear" w:color="000000" w:fill="FFFFFF"/>
            <w:vAlign w:val="bottom"/>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1</w:t>
            </w:r>
          </w:p>
        </w:tc>
        <w:tc>
          <w:tcPr>
            <w:tcW w:w="3599"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生师比</w:t>
            </w:r>
          </w:p>
        </w:tc>
        <w:tc>
          <w:tcPr>
            <w:tcW w:w="10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25.12</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31.4</w:t>
            </w:r>
          </w:p>
        </w:tc>
      </w:tr>
      <w:tr>
        <w:tblPrEx>
          <w:tblLayout w:type="fixed"/>
          <w:tblCellMar>
            <w:top w:w="0" w:type="dxa"/>
            <w:left w:w="108" w:type="dxa"/>
            <w:bottom w:w="0" w:type="dxa"/>
            <w:right w:w="108" w:type="dxa"/>
          </w:tblCellMar>
        </w:tblPrEx>
        <w:trPr>
          <w:trHeight w:val="468" w:hRule="atLeast"/>
        </w:trPr>
        <w:tc>
          <w:tcPr>
            <w:tcW w:w="75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6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2</w:t>
            </w:r>
          </w:p>
        </w:tc>
        <w:tc>
          <w:tcPr>
            <w:tcW w:w="3599"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双师型专任教师比例</w:t>
            </w:r>
          </w:p>
        </w:tc>
        <w:tc>
          <w:tcPr>
            <w:tcW w:w="10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1.5</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r>
      <w:tr>
        <w:tblPrEx>
          <w:tblLayout w:type="fixed"/>
          <w:tblCellMar>
            <w:top w:w="0" w:type="dxa"/>
            <w:left w:w="108" w:type="dxa"/>
            <w:bottom w:w="0" w:type="dxa"/>
            <w:right w:w="108" w:type="dxa"/>
          </w:tblCellMar>
        </w:tblPrEx>
        <w:trPr>
          <w:trHeight w:val="468" w:hRule="atLeast"/>
        </w:trPr>
        <w:tc>
          <w:tcPr>
            <w:tcW w:w="75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6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3</w:t>
            </w:r>
          </w:p>
        </w:tc>
        <w:tc>
          <w:tcPr>
            <w:tcW w:w="3599"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专任教师人均企业实践时间</w:t>
            </w:r>
          </w:p>
        </w:tc>
        <w:tc>
          <w:tcPr>
            <w:tcW w:w="10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天</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25</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25</w:t>
            </w:r>
          </w:p>
        </w:tc>
      </w:tr>
      <w:tr>
        <w:tblPrEx>
          <w:tblLayout w:type="fixed"/>
          <w:tblCellMar>
            <w:top w:w="0" w:type="dxa"/>
            <w:left w:w="108" w:type="dxa"/>
            <w:bottom w:w="0" w:type="dxa"/>
            <w:right w:w="108" w:type="dxa"/>
          </w:tblCellMar>
        </w:tblPrEx>
        <w:trPr>
          <w:trHeight w:val="468" w:hRule="atLeast"/>
        </w:trPr>
        <w:tc>
          <w:tcPr>
            <w:tcW w:w="75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6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4</w:t>
            </w:r>
          </w:p>
        </w:tc>
        <w:tc>
          <w:tcPr>
            <w:tcW w:w="3599"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企业兼职教师专业课课时占比</w:t>
            </w:r>
          </w:p>
        </w:tc>
        <w:tc>
          <w:tcPr>
            <w:tcW w:w="10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50.4</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r>
      <w:tr>
        <w:tblPrEx>
          <w:tblLayout w:type="fixed"/>
          <w:tblCellMar>
            <w:top w:w="0" w:type="dxa"/>
            <w:left w:w="108" w:type="dxa"/>
            <w:bottom w:w="0" w:type="dxa"/>
            <w:right w:w="108" w:type="dxa"/>
          </w:tblCellMar>
        </w:tblPrEx>
        <w:trPr>
          <w:trHeight w:val="468" w:hRule="atLeast"/>
        </w:trPr>
        <w:tc>
          <w:tcPr>
            <w:tcW w:w="75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6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5</w:t>
            </w:r>
          </w:p>
        </w:tc>
        <w:tc>
          <w:tcPr>
            <w:tcW w:w="3599"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生均教学科研仪器设备值</w:t>
            </w:r>
          </w:p>
        </w:tc>
        <w:tc>
          <w:tcPr>
            <w:tcW w:w="10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元/生</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1395</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2306</w:t>
            </w:r>
          </w:p>
        </w:tc>
      </w:tr>
      <w:tr>
        <w:tblPrEx>
          <w:tblLayout w:type="fixed"/>
          <w:tblCellMar>
            <w:top w:w="0" w:type="dxa"/>
            <w:left w:w="108" w:type="dxa"/>
            <w:bottom w:w="0" w:type="dxa"/>
            <w:right w:w="108" w:type="dxa"/>
          </w:tblCellMar>
        </w:tblPrEx>
        <w:trPr>
          <w:trHeight w:val="468" w:hRule="atLeast"/>
        </w:trPr>
        <w:tc>
          <w:tcPr>
            <w:tcW w:w="75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6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6</w:t>
            </w:r>
          </w:p>
        </w:tc>
        <w:tc>
          <w:tcPr>
            <w:tcW w:w="3599"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生均校内实践教学工位数</w:t>
            </w:r>
          </w:p>
        </w:tc>
        <w:tc>
          <w:tcPr>
            <w:tcW w:w="10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个/生</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6132</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20</w:t>
            </w:r>
          </w:p>
        </w:tc>
      </w:tr>
      <w:tr>
        <w:tblPrEx>
          <w:tblLayout w:type="fixed"/>
          <w:tblCellMar>
            <w:top w:w="0" w:type="dxa"/>
            <w:left w:w="108" w:type="dxa"/>
            <w:bottom w:w="0" w:type="dxa"/>
            <w:right w:w="108" w:type="dxa"/>
          </w:tblCellMar>
        </w:tblPrEx>
        <w:trPr>
          <w:trHeight w:val="468" w:hRule="atLeast"/>
        </w:trPr>
        <w:tc>
          <w:tcPr>
            <w:tcW w:w="75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6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7</w:t>
            </w:r>
          </w:p>
        </w:tc>
        <w:tc>
          <w:tcPr>
            <w:tcW w:w="3599"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生均校外实习实训基地实习时间</w:t>
            </w:r>
          </w:p>
        </w:tc>
        <w:tc>
          <w:tcPr>
            <w:tcW w:w="1078"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天/生</w:t>
            </w:r>
          </w:p>
        </w:tc>
        <w:tc>
          <w:tcPr>
            <w:tcW w:w="1051" w:type="dxa"/>
            <w:tcBorders>
              <w:top w:val="nil"/>
              <w:left w:val="nil"/>
              <w:bottom w:val="single" w:color="auto" w:sz="4" w:space="0"/>
              <w:right w:val="single" w:color="auto" w:sz="4" w:space="0"/>
            </w:tcBorders>
            <w:shd w:val="clear" w:color="000000" w:fill="FFFFFF"/>
            <w:vAlign w:val="bottom"/>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87</w:t>
            </w:r>
          </w:p>
        </w:tc>
        <w:tc>
          <w:tcPr>
            <w:tcW w:w="1051"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121</w:t>
            </w:r>
          </w:p>
        </w:tc>
      </w:tr>
    </w:tbl>
    <w:p>
      <w:pPr>
        <w:widowControl/>
        <w:snapToGrid w:val="0"/>
        <w:spacing w:line="312" w:lineRule="auto"/>
        <w:jc w:val="center"/>
        <w:rPr>
          <w:rFonts w:ascii="黑体" w:hAnsi="黑体" w:eastAsia="黑体"/>
          <w:color w:val="000000" w:themeColor="text1"/>
          <w:sz w:val="32"/>
          <w:szCs w:val="32"/>
          <w14:textFill>
            <w14:solidFill>
              <w14:schemeClr w14:val="tx1"/>
            </w14:solidFill>
          </w14:textFill>
        </w:rPr>
      </w:pPr>
    </w:p>
    <w:p>
      <w:pPr>
        <w:jc w:val="center"/>
        <w:rPr>
          <w:rFonts w:ascii="仿宋_GB2312" w:eastAsia="仿宋_GB2312"/>
          <w:color w:val="000000" w:themeColor="text1"/>
          <w:sz w:val="32"/>
          <w:szCs w:val="32"/>
          <w14:textFill>
            <w14:solidFill>
              <w14:schemeClr w14:val="tx1"/>
            </w14:solidFill>
          </w14:textFill>
        </w:rPr>
      </w:pPr>
      <w:r>
        <w:rPr>
          <w:rFonts w:ascii="仿宋_GB2312" w:hAnsi="宋体" w:eastAsia="仿宋_GB2312" w:cs="宋体"/>
          <w:color w:val="000000" w:themeColor="text1"/>
          <w:kern w:val="0"/>
          <w:sz w:val="29"/>
          <w:szCs w:val="29"/>
          <w14:textFill>
            <w14:solidFill>
              <w14:schemeClr w14:val="tx1"/>
            </w14:solidFill>
          </w14:textFill>
        </w:rPr>
        <w:br w:type="page"/>
      </w:r>
      <w:r>
        <w:rPr>
          <w:rFonts w:hint="eastAsia" w:ascii="仿宋_GB2312" w:eastAsia="仿宋_GB2312"/>
          <w:color w:val="000000" w:themeColor="text1"/>
          <w:sz w:val="32"/>
          <w:szCs w:val="32"/>
          <w14:textFill>
            <w14:solidFill>
              <w14:schemeClr w14:val="tx1"/>
            </w14:solidFill>
          </w14:textFill>
        </w:rPr>
        <w:t>附件3</w:t>
      </w:r>
    </w:p>
    <w:p>
      <w:pPr>
        <w:snapToGrid w:val="0"/>
        <w:spacing w:after="156" w:afterLines="50"/>
        <w:ind w:firstLine="1440" w:firstLineChars="400"/>
        <w:jc w:val="center"/>
        <w:outlineLvl w:val="0"/>
        <w:rPr>
          <w:rFonts w:ascii="方正小标宋简体" w:hAnsi="Times New Roman" w:eastAsia="方正小标宋简体" w:cs="宋体"/>
          <w:color w:val="000000" w:themeColor="text1"/>
          <w:kern w:val="0"/>
          <w:sz w:val="36"/>
          <w:szCs w:val="36"/>
          <w14:textFill>
            <w14:solidFill>
              <w14:schemeClr w14:val="tx1"/>
            </w14:solidFill>
          </w14:textFill>
        </w:rPr>
      </w:pPr>
      <w:r>
        <w:rPr>
          <w:rFonts w:hint="eastAsia" w:ascii="方正小标宋简体" w:hAnsi="Times New Roman" w:eastAsia="方正小标宋简体" w:cs="宋体"/>
          <w:color w:val="000000" w:themeColor="text1"/>
          <w:kern w:val="0"/>
          <w:sz w:val="36"/>
          <w:szCs w:val="36"/>
          <w14:textFill>
            <w14:solidFill>
              <w14:schemeClr w14:val="tx1"/>
            </w14:solidFill>
          </w14:textFill>
        </w:rPr>
        <w:t>“服务贡献表”指标及相关内涵说明</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“服务贡献表”系反映中职学校服务地方和行业发展的管理评价工具。</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毕业生就业去向分为三类：A类是毕业生留在当地（公办学校：如省级财政投入经费的以省域为“当地”，地级财政投入经费以地级市域为“当地”，以此类推；民办学校：以学校所在地为“当地”，如有异地校区则分别统计）就业的比例；B类是毕业生到中小微企业（具体标准参见《关于印发中小企业划型标准规定的通知》（工信部联企业〔2011〕300号））服务的比例；C类是学校毕业生到国家骨干企业（主要指中央企业和行业龙头企业）就业的比例。各中职学校根据实际需分别填写以上三类，总和不受100%约束。各地在本省质量年报中可汇总分析本省中职学校三个类别的情况。</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2.“横向技术服务到款额”指为行业企业提供科研、培训等技术服务已到账的收入。</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3.“纵向科研经费到款额”指政府有关部门计划委托项目已到账的收入。</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4.“技术交易到款额”指技术转让及技术许可中已经到账的收入。</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5.“非学历培训到款额”指为社会进行的非学历性培训已到账的收入。</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6.“公益性培训服务”指为社会进行的免费培训的规模。</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br w:type="page"/>
      </w:r>
    </w:p>
    <w:p>
      <w:pPr>
        <w:widowControl/>
        <w:snapToGrid w:val="0"/>
        <w:spacing w:line="312" w:lineRule="auto"/>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表3 服务贡献表</w:t>
      </w:r>
    </w:p>
    <w:tbl>
      <w:tblPr>
        <w:tblStyle w:val="8"/>
        <w:tblW w:w="8926" w:type="dxa"/>
        <w:jc w:val="center"/>
        <w:tblInd w:w="0" w:type="dxa"/>
        <w:tblLayout w:type="fixed"/>
        <w:tblCellMar>
          <w:top w:w="0" w:type="dxa"/>
          <w:left w:w="108" w:type="dxa"/>
          <w:bottom w:w="0" w:type="dxa"/>
          <w:right w:w="108" w:type="dxa"/>
        </w:tblCellMar>
      </w:tblPr>
      <w:tblGrid>
        <w:gridCol w:w="797"/>
        <w:gridCol w:w="838"/>
        <w:gridCol w:w="365"/>
        <w:gridCol w:w="4154"/>
        <w:gridCol w:w="803"/>
        <w:gridCol w:w="984"/>
        <w:gridCol w:w="985"/>
      </w:tblGrid>
      <w:tr>
        <w:tblPrEx>
          <w:tblLayout w:type="fixed"/>
          <w:tblCellMar>
            <w:top w:w="0" w:type="dxa"/>
            <w:left w:w="108" w:type="dxa"/>
            <w:bottom w:w="0" w:type="dxa"/>
            <w:right w:w="108" w:type="dxa"/>
          </w:tblCellMar>
        </w:tblPrEx>
        <w:trPr>
          <w:trHeight w:val="480" w:hRule="atLeast"/>
          <w:jc w:val="center"/>
        </w:trPr>
        <w:tc>
          <w:tcPr>
            <w:tcW w:w="79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院校代码</w:t>
            </w:r>
          </w:p>
        </w:tc>
        <w:tc>
          <w:tcPr>
            <w:tcW w:w="83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院校名称</w:t>
            </w:r>
          </w:p>
        </w:tc>
        <w:tc>
          <w:tcPr>
            <w:tcW w:w="4519"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指标</w:t>
            </w:r>
          </w:p>
        </w:tc>
        <w:tc>
          <w:tcPr>
            <w:tcW w:w="803"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单位</w:t>
            </w:r>
          </w:p>
        </w:tc>
        <w:tc>
          <w:tcPr>
            <w:tcW w:w="984"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2016年</w:t>
            </w:r>
          </w:p>
        </w:tc>
        <w:tc>
          <w:tcPr>
            <w:tcW w:w="985"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2017年</w:t>
            </w:r>
          </w:p>
        </w:tc>
      </w:tr>
      <w:tr>
        <w:tblPrEx>
          <w:tblLayout w:type="fixed"/>
          <w:tblCellMar>
            <w:top w:w="0" w:type="dxa"/>
            <w:left w:w="108" w:type="dxa"/>
            <w:bottom w:w="0" w:type="dxa"/>
            <w:right w:w="108" w:type="dxa"/>
          </w:tblCellMar>
        </w:tblPrEx>
        <w:trPr>
          <w:trHeight w:val="420" w:hRule="atLeast"/>
          <w:jc w:val="center"/>
        </w:trPr>
        <w:tc>
          <w:tcPr>
            <w:tcW w:w="797" w:type="dxa"/>
            <w:vMerge w:val="restart"/>
            <w:tcBorders>
              <w:top w:val="nil"/>
              <w:left w:val="single" w:color="auto" w:sz="4" w:space="0"/>
              <w:bottom w:val="single" w:color="auto" w:sz="4" w:space="0"/>
              <w:right w:val="single" w:color="auto" w:sz="4" w:space="0"/>
            </w:tcBorders>
            <w:shd w:val="clear" w:color="000000" w:fill="FFFFFF"/>
            <w:vAlign w:val="bottom"/>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restart"/>
            <w:tcBorders>
              <w:top w:val="nil"/>
              <w:left w:val="single" w:color="auto" w:sz="4" w:space="0"/>
              <w:bottom w:val="single" w:color="auto" w:sz="4" w:space="0"/>
              <w:right w:val="single" w:color="auto" w:sz="4" w:space="0"/>
            </w:tcBorders>
            <w:shd w:val="clear" w:color="000000" w:fill="FFFFFF"/>
            <w:vAlign w:val="bottom"/>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1</w:t>
            </w: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毕业生人数（合计）</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人</w:t>
            </w:r>
          </w:p>
        </w:tc>
        <w:tc>
          <w:tcPr>
            <w:tcW w:w="984" w:type="dxa"/>
            <w:tcBorders>
              <w:top w:val="nil"/>
              <w:left w:val="nil"/>
              <w:bottom w:val="single" w:color="auto" w:sz="4" w:space="0"/>
              <w:right w:val="single" w:color="auto" w:sz="4" w:space="0"/>
            </w:tcBorders>
            <w:shd w:val="clear" w:color="000000" w:fill="FFFFFF"/>
            <w:vAlign w:val="bottom"/>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1522</w:t>
            </w:r>
          </w:p>
        </w:tc>
        <w:tc>
          <w:tcPr>
            <w:tcW w:w="985" w:type="dxa"/>
            <w:tcBorders>
              <w:top w:val="nil"/>
              <w:left w:val="nil"/>
              <w:bottom w:val="single" w:color="auto" w:sz="4" w:space="0"/>
              <w:right w:val="single" w:color="auto" w:sz="4" w:space="0"/>
            </w:tcBorders>
            <w:shd w:val="clear" w:color="000000" w:fill="FFFFFF"/>
            <w:vAlign w:val="bottom"/>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1810</w:t>
            </w:r>
          </w:p>
        </w:tc>
      </w:tr>
      <w:tr>
        <w:tblPrEx>
          <w:tblLayout w:type="fixed"/>
          <w:tblCellMar>
            <w:top w:w="0" w:type="dxa"/>
            <w:left w:w="108" w:type="dxa"/>
            <w:bottom w:w="0" w:type="dxa"/>
            <w:right w:w="108" w:type="dxa"/>
          </w:tblCellMar>
        </w:tblPrEx>
        <w:trPr>
          <w:trHeight w:val="42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其中：就业人数（合计）</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人</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1446</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1720</w:t>
            </w:r>
          </w:p>
        </w:tc>
      </w:tr>
      <w:tr>
        <w:tblPrEx>
          <w:tblLayout w:type="fixed"/>
          <w:tblCellMar>
            <w:top w:w="0" w:type="dxa"/>
            <w:left w:w="108" w:type="dxa"/>
            <w:bottom w:w="0" w:type="dxa"/>
            <w:right w:w="108" w:type="dxa"/>
          </w:tblCellMar>
        </w:tblPrEx>
        <w:trPr>
          <w:trHeight w:val="48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毕业生就业去向（以下三类都填，总和不受100%约束）：</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w:t>
            </w:r>
          </w:p>
        </w:tc>
      </w:tr>
      <w:tr>
        <w:tblPrEx>
          <w:tblLayout w:type="fixed"/>
          <w:tblCellMar>
            <w:top w:w="0" w:type="dxa"/>
            <w:left w:w="108" w:type="dxa"/>
            <w:bottom w:w="0" w:type="dxa"/>
            <w:right w:w="108" w:type="dxa"/>
          </w:tblCellMar>
        </w:tblPrEx>
        <w:trPr>
          <w:trHeight w:val="42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A类:留在当地就业比例</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95</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95</w:t>
            </w:r>
          </w:p>
        </w:tc>
      </w:tr>
      <w:tr>
        <w:tblPrEx>
          <w:tblLayout w:type="fixed"/>
          <w:tblCellMar>
            <w:top w:w="0" w:type="dxa"/>
            <w:left w:w="108" w:type="dxa"/>
            <w:bottom w:w="0" w:type="dxa"/>
            <w:right w:w="108" w:type="dxa"/>
          </w:tblCellMar>
        </w:tblPrEx>
        <w:trPr>
          <w:trHeight w:val="42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B类:到中小微企业等基层服务比例</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5</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5</w:t>
            </w:r>
          </w:p>
        </w:tc>
      </w:tr>
      <w:tr>
        <w:tblPrEx>
          <w:tblLayout w:type="fixed"/>
          <w:tblCellMar>
            <w:top w:w="0" w:type="dxa"/>
            <w:left w:w="108" w:type="dxa"/>
            <w:bottom w:w="0" w:type="dxa"/>
            <w:right w:w="108" w:type="dxa"/>
          </w:tblCellMar>
        </w:tblPrEx>
        <w:trPr>
          <w:trHeight w:val="42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C类:到国家骨干企业就业比例</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r>
      <w:tr>
        <w:tblPrEx>
          <w:tblLayout w:type="fixed"/>
          <w:tblCellMar>
            <w:top w:w="0" w:type="dxa"/>
            <w:left w:w="108" w:type="dxa"/>
            <w:bottom w:w="0" w:type="dxa"/>
            <w:right w:w="108" w:type="dxa"/>
          </w:tblCellMar>
        </w:tblPrEx>
        <w:trPr>
          <w:trHeight w:val="42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2</w:t>
            </w: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横向技术服务到款额</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万元</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r>
      <w:tr>
        <w:tblPrEx>
          <w:tblLayout w:type="fixed"/>
          <w:tblCellMar>
            <w:top w:w="0" w:type="dxa"/>
            <w:left w:w="108" w:type="dxa"/>
            <w:bottom w:w="0" w:type="dxa"/>
            <w:right w:w="108" w:type="dxa"/>
          </w:tblCellMar>
        </w:tblPrEx>
        <w:trPr>
          <w:trHeight w:val="42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3</w:t>
            </w: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纵向科研经费到款额</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万元</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r>
      <w:tr>
        <w:tblPrEx>
          <w:tblLayout w:type="fixed"/>
          <w:tblCellMar>
            <w:top w:w="0" w:type="dxa"/>
            <w:left w:w="108" w:type="dxa"/>
            <w:bottom w:w="0" w:type="dxa"/>
            <w:right w:w="108" w:type="dxa"/>
          </w:tblCellMar>
        </w:tblPrEx>
        <w:trPr>
          <w:trHeight w:val="42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4</w:t>
            </w: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技术交易到款额</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万元</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r>
      <w:tr>
        <w:tblPrEx>
          <w:tblLayout w:type="fixed"/>
          <w:tblCellMar>
            <w:top w:w="0" w:type="dxa"/>
            <w:left w:w="108" w:type="dxa"/>
            <w:bottom w:w="0" w:type="dxa"/>
            <w:right w:w="108" w:type="dxa"/>
          </w:tblCellMar>
        </w:tblPrEx>
        <w:trPr>
          <w:trHeight w:val="42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5</w:t>
            </w: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非学历培训到款额</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万元</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r>
      <w:tr>
        <w:tblPrEx>
          <w:tblLayout w:type="fixed"/>
          <w:tblCellMar>
            <w:top w:w="0" w:type="dxa"/>
            <w:left w:w="108" w:type="dxa"/>
            <w:bottom w:w="0" w:type="dxa"/>
            <w:right w:w="108" w:type="dxa"/>
          </w:tblCellMar>
        </w:tblPrEx>
        <w:trPr>
          <w:trHeight w:val="420" w:hRule="atLeast"/>
          <w:jc w:val="center"/>
        </w:trPr>
        <w:tc>
          <w:tcPr>
            <w:tcW w:w="797"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36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6</w:t>
            </w:r>
          </w:p>
        </w:tc>
        <w:tc>
          <w:tcPr>
            <w:tcW w:w="415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公益性培训服务</w:t>
            </w:r>
          </w:p>
        </w:tc>
        <w:tc>
          <w:tcPr>
            <w:tcW w:w="803"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人日</w:t>
            </w:r>
          </w:p>
        </w:tc>
        <w:tc>
          <w:tcPr>
            <w:tcW w:w="984"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0</w:t>
            </w:r>
          </w:p>
        </w:tc>
      </w:tr>
      <w:tr>
        <w:tblPrEx>
          <w:tblLayout w:type="fixed"/>
          <w:tblCellMar>
            <w:top w:w="0" w:type="dxa"/>
            <w:left w:w="108" w:type="dxa"/>
            <w:bottom w:w="0" w:type="dxa"/>
            <w:right w:w="108" w:type="dxa"/>
          </w:tblCellMar>
        </w:tblPrEx>
        <w:trPr>
          <w:trHeight w:val="240" w:hRule="atLeast"/>
          <w:jc w:val="center"/>
        </w:trPr>
        <w:tc>
          <w:tcPr>
            <w:tcW w:w="797" w:type="dxa"/>
            <w:vMerge w:val="continue"/>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838" w:type="dxa"/>
            <w:vMerge w:val="continue"/>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themeColor="text1"/>
                <w:kern w:val="0"/>
                <w:sz w:val="24"/>
                <w:szCs w:val="24"/>
                <w14:textFill>
                  <w14:solidFill>
                    <w14:schemeClr w14:val="tx1"/>
                  </w14:solidFill>
                </w14:textFill>
              </w:rPr>
            </w:pPr>
          </w:p>
        </w:tc>
        <w:tc>
          <w:tcPr>
            <w:tcW w:w="7291" w:type="dxa"/>
            <w:gridSpan w:val="5"/>
            <w:tcBorders>
              <w:top w:val="single" w:color="auto" w:sz="4" w:space="0"/>
              <w:left w:val="nil"/>
              <w:bottom w:val="single" w:color="auto" w:sz="4" w:space="0"/>
              <w:right w:val="single" w:color="000000" w:sz="4" w:space="0"/>
            </w:tcBorders>
            <w:vAlign w:val="bottom"/>
          </w:tcPr>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 xml:space="preserve">主要办学经费来源（单选）：省      级（  ）    地市级（ </w:t>
            </w:r>
            <w:r>
              <w:rPr>
                <w:rFonts w:hint="eastAsia" w:ascii="仿宋" w:hAnsi="仿宋" w:eastAsia="仿宋" w:cs="宋体"/>
                <w:color w:val="000000" w:themeColor="text1"/>
                <w:kern w:val="0"/>
                <w:sz w:val="24"/>
                <w:szCs w:val="24"/>
                <w:lang w:val="en-US" w:eastAsia="zh-CN"/>
                <w14:textFill>
                  <w14:solidFill>
                    <w14:schemeClr w14:val="tx1"/>
                  </w14:solidFill>
                </w14:textFill>
              </w:rPr>
              <w:t>1</w:t>
            </w:r>
            <w:r>
              <w:rPr>
                <w:rFonts w:hint="eastAsia" w:ascii="仿宋" w:hAnsi="仿宋" w:eastAsia="仿宋" w:cs="宋体"/>
                <w:color w:val="000000" w:themeColor="text1"/>
                <w:kern w:val="0"/>
                <w:sz w:val="24"/>
                <w:szCs w:val="24"/>
                <w14:textFill>
                  <w14:solidFill>
                    <w14:schemeClr w14:val="tx1"/>
                  </w14:solidFill>
                </w14:textFill>
              </w:rPr>
              <w:t xml:space="preserve"> ）</w:t>
            </w:r>
          </w:p>
          <w:p>
            <w:pPr>
              <w:widowControl/>
              <w:ind w:firstLine="3120" w:firstLineChars="1300"/>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行业或企业（  ）    其  他（  ）</w:t>
            </w:r>
          </w:p>
        </w:tc>
      </w:tr>
    </w:tbl>
    <w:p>
      <w:pPr>
        <w:jc w:val="center"/>
        <w:rPr>
          <w:rFonts w:ascii="仿宋_GB2312" w:hAnsi="宋体" w:eastAsia="仿宋_GB2312" w:cs="宋体"/>
          <w:color w:val="000000" w:themeColor="text1"/>
          <w:kern w:val="0"/>
          <w:sz w:val="32"/>
          <w:szCs w:val="32"/>
          <w:shd w:val="clear" w:color="auto" w:fill="FFFFFF"/>
          <w14:textFill>
            <w14:solidFill>
              <w14:schemeClr w14:val="tx1"/>
            </w14:solidFill>
          </w14:textFill>
        </w:rPr>
      </w:pPr>
    </w:p>
    <w:p>
      <w:pPr>
        <w:jc w:val="center"/>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br w:type="page"/>
      </w:r>
      <w:r>
        <w:rPr>
          <w:rFonts w:hint="eastAsia" w:ascii="仿宋_GB2312" w:eastAsia="仿宋_GB2312"/>
          <w:color w:val="000000" w:themeColor="text1"/>
          <w:sz w:val="32"/>
          <w:szCs w:val="32"/>
          <w14:textFill>
            <w14:solidFill>
              <w14:schemeClr w14:val="tx1"/>
            </w14:solidFill>
          </w14:textFill>
        </w:rPr>
        <w:t>附件4</w:t>
      </w:r>
    </w:p>
    <w:p>
      <w:pPr>
        <w:snapToGrid w:val="0"/>
        <w:spacing w:after="156" w:afterLines="50"/>
        <w:ind w:firstLine="1440" w:firstLineChars="400"/>
        <w:jc w:val="center"/>
        <w:outlineLvl w:val="0"/>
        <w:rPr>
          <w:rFonts w:ascii="方正小标宋简体" w:hAnsi="Times New Roman" w:eastAsia="方正小标宋简体" w:cs="宋体"/>
          <w:color w:val="000000" w:themeColor="text1"/>
          <w:kern w:val="0"/>
          <w:sz w:val="36"/>
          <w:szCs w:val="36"/>
          <w14:textFill>
            <w14:solidFill>
              <w14:schemeClr w14:val="tx1"/>
            </w14:solidFill>
          </w14:textFill>
        </w:rPr>
      </w:pPr>
      <w:r>
        <w:rPr>
          <w:rFonts w:hint="eastAsia" w:ascii="方正小标宋简体" w:hAnsi="Times New Roman" w:eastAsia="方正小标宋简体" w:cs="宋体"/>
          <w:color w:val="000000" w:themeColor="text1"/>
          <w:kern w:val="0"/>
          <w:sz w:val="36"/>
          <w:szCs w:val="36"/>
          <w14:textFill>
            <w14:solidFill>
              <w14:schemeClr w14:val="tx1"/>
            </w14:solidFill>
          </w14:textFill>
        </w:rPr>
        <w:t>“落实政策表”指标及相关内涵说明</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“落实政策表”系通过中职学校数据反映政府落实国家发展中等职业教育政策情况的管理评价工具。</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1.“年生均财政拨款水平”。</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2.“年生均财政专项经费”是指“年生均财政拨款水平”中的专项经费支出。</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3.“教职员工额定编制数”指人力资源保障部门核定的学校教职工编制数；“在岗教职员工总数”指学校在编在岗教职员工和编外聘用的教学、科研和行政岗位人员总数（不含编外聘用的工勤人员）。</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4.“生均企业实习财政经费补贴”指用于补贴学生企业实习的财政专项经费(补贴给学生个人或企业),按照实习学生人数折算的平均水平。如果没有单列财政专项则不填。</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5.“生均企业实习责任保险补贴”指用于补贴学生企业实习责任保险的财政教育经费，按照实习学生人数折算的平均水平。</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6.“企业兼职教师人均财政补贴”指用于支付企业兼职教师补贴的财政专项经费，按照企业兼职教师人数折算的平均水平。如没有单列财政专项经费则不填。</w:t>
      </w:r>
    </w:p>
    <w:p>
      <w:pPr>
        <w:spacing w:line="520" w:lineRule="exact"/>
        <w:ind w:firstLine="640" w:firstLineChars="200"/>
        <w:jc w:val="center"/>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7.“专任教师参加省级培训量”指学校专任教师参加的省级财政负担的培训项目的总量。</w:t>
      </w:r>
    </w:p>
    <w:p>
      <w:pPr>
        <w:spacing w:line="520" w:lineRule="exact"/>
        <w:ind w:firstLine="640" w:firstLineChars="200"/>
        <w:jc w:val="center"/>
        <w:rPr>
          <w:rFonts w:hint="eastAsia" w:ascii="仿宋_GB2312" w:eastAsia="仿宋_GB2312"/>
          <w:color w:val="000000" w:themeColor="text1"/>
          <w:sz w:val="32"/>
          <w:szCs w:val="32"/>
          <w14:textFill>
            <w14:solidFill>
              <w14:schemeClr w14:val="tx1"/>
            </w14:solidFill>
          </w14:textFill>
        </w:rPr>
      </w:pP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bookmarkStart w:id="0" w:name="_GoBack"/>
      <w:bookmarkEnd w:id="0"/>
    </w:p>
    <w:p>
      <w:pPr>
        <w:widowControl/>
        <w:snapToGrid w:val="0"/>
        <w:spacing w:line="312" w:lineRule="auto"/>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表4 落实政策表</w:t>
      </w:r>
    </w:p>
    <w:tbl>
      <w:tblPr>
        <w:tblStyle w:val="8"/>
        <w:tblW w:w="8884" w:type="dxa"/>
        <w:jc w:val="center"/>
        <w:tblInd w:w="0" w:type="dxa"/>
        <w:tblLayout w:type="fixed"/>
        <w:tblCellMar>
          <w:top w:w="0" w:type="dxa"/>
          <w:left w:w="108" w:type="dxa"/>
          <w:bottom w:w="0" w:type="dxa"/>
          <w:right w:w="108" w:type="dxa"/>
        </w:tblCellMar>
      </w:tblPr>
      <w:tblGrid>
        <w:gridCol w:w="793"/>
        <w:gridCol w:w="871"/>
        <w:gridCol w:w="329"/>
        <w:gridCol w:w="3824"/>
        <w:gridCol w:w="1034"/>
        <w:gridCol w:w="972"/>
        <w:gridCol w:w="1061"/>
      </w:tblGrid>
      <w:tr>
        <w:tblPrEx>
          <w:tblLayout w:type="fixed"/>
          <w:tblCellMar>
            <w:top w:w="0" w:type="dxa"/>
            <w:left w:w="108" w:type="dxa"/>
            <w:bottom w:w="0" w:type="dxa"/>
            <w:right w:w="108" w:type="dxa"/>
          </w:tblCellMar>
        </w:tblPrEx>
        <w:trPr>
          <w:trHeight w:val="480" w:hRule="atLeast"/>
          <w:jc w:val="center"/>
        </w:trPr>
        <w:tc>
          <w:tcPr>
            <w:tcW w:w="79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76" w:lineRule="auto"/>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院校代码</w:t>
            </w:r>
          </w:p>
        </w:tc>
        <w:tc>
          <w:tcPr>
            <w:tcW w:w="871"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院校名称</w:t>
            </w:r>
          </w:p>
        </w:tc>
        <w:tc>
          <w:tcPr>
            <w:tcW w:w="4153" w:type="dxa"/>
            <w:gridSpan w:val="2"/>
            <w:tcBorders>
              <w:top w:val="single" w:color="auto" w:sz="4" w:space="0"/>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指标</w:t>
            </w:r>
          </w:p>
        </w:tc>
        <w:tc>
          <w:tcPr>
            <w:tcW w:w="1034" w:type="dxa"/>
            <w:tcBorders>
              <w:top w:val="single" w:color="auto" w:sz="4" w:space="0"/>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单位</w:t>
            </w:r>
          </w:p>
        </w:tc>
        <w:tc>
          <w:tcPr>
            <w:tcW w:w="972" w:type="dxa"/>
            <w:tcBorders>
              <w:top w:val="single" w:color="auto" w:sz="4" w:space="0"/>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2016年</w:t>
            </w:r>
          </w:p>
        </w:tc>
        <w:tc>
          <w:tcPr>
            <w:tcW w:w="1061" w:type="dxa"/>
            <w:tcBorders>
              <w:top w:val="single" w:color="auto" w:sz="4" w:space="0"/>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b/>
                <w:bCs/>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kern w:val="0"/>
                <w:sz w:val="24"/>
                <w:szCs w:val="24"/>
                <w14:textFill>
                  <w14:solidFill>
                    <w14:schemeClr w14:val="tx1"/>
                  </w14:solidFill>
                </w14:textFill>
              </w:rPr>
              <w:t>2017年</w:t>
            </w:r>
          </w:p>
        </w:tc>
      </w:tr>
      <w:tr>
        <w:tblPrEx>
          <w:tblLayout w:type="fixed"/>
          <w:tblCellMar>
            <w:top w:w="0" w:type="dxa"/>
            <w:left w:w="108" w:type="dxa"/>
            <w:bottom w:w="0" w:type="dxa"/>
            <w:right w:w="108" w:type="dxa"/>
          </w:tblCellMar>
        </w:tblPrEx>
        <w:trPr>
          <w:trHeight w:val="390" w:hRule="atLeast"/>
          <w:jc w:val="center"/>
        </w:trPr>
        <w:tc>
          <w:tcPr>
            <w:tcW w:w="793" w:type="dxa"/>
            <w:vMerge w:val="restart"/>
            <w:tcBorders>
              <w:top w:val="nil"/>
              <w:left w:val="single" w:color="auto" w:sz="4" w:space="0"/>
              <w:bottom w:val="single" w:color="auto" w:sz="4" w:space="0"/>
              <w:right w:val="single" w:color="auto" w:sz="4" w:space="0"/>
            </w:tcBorders>
            <w:shd w:val="clear" w:color="000000" w:fill="FFFFFF"/>
            <w:vAlign w:val="bottom"/>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871" w:type="dxa"/>
            <w:vMerge w:val="restart"/>
            <w:tcBorders>
              <w:top w:val="nil"/>
              <w:left w:val="single" w:color="auto" w:sz="4" w:space="0"/>
              <w:bottom w:val="single" w:color="auto" w:sz="4" w:space="0"/>
              <w:right w:val="single" w:color="auto" w:sz="4" w:space="0"/>
            </w:tcBorders>
            <w:shd w:val="clear" w:color="000000" w:fill="FFFFFF"/>
            <w:vAlign w:val="bottom"/>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29"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1</w:t>
            </w:r>
          </w:p>
        </w:tc>
        <w:tc>
          <w:tcPr>
            <w:tcW w:w="382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年生均财政拨款水平</w:t>
            </w:r>
          </w:p>
        </w:tc>
        <w:tc>
          <w:tcPr>
            <w:tcW w:w="103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元</w:t>
            </w:r>
          </w:p>
        </w:tc>
        <w:tc>
          <w:tcPr>
            <w:tcW w:w="972"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hint="eastAsia" w:ascii="仿宋" w:hAnsi="仿宋" w:eastAsia="仿宋" w:cs="宋体"/>
                <w:color w:val="000000" w:themeColor="text1"/>
                <w:kern w:val="0"/>
                <w:sz w:val="24"/>
                <w:szCs w:val="24"/>
                <w:lang w:val="en-US" w:eastAsia="zh-CN"/>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3200</w:t>
            </w:r>
          </w:p>
        </w:tc>
        <w:tc>
          <w:tcPr>
            <w:tcW w:w="1061"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3065</w:t>
            </w:r>
          </w:p>
        </w:tc>
      </w:tr>
      <w:tr>
        <w:tblPrEx>
          <w:tblLayout w:type="fixed"/>
          <w:tblCellMar>
            <w:top w:w="0" w:type="dxa"/>
            <w:left w:w="108" w:type="dxa"/>
            <w:bottom w:w="0" w:type="dxa"/>
            <w:right w:w="108" w:type="dxa"/>
          </w:tblCellMar>
        </w:tblPrEx>
        <w:trPr>
          <w:trHeight w:val="390" w:hRule="atLeast"/>
          <w:jc w:val="center"/>
        </w:trPr>
        <w:tc>
          <w:tcPr>
            <w:tcW w:w="793"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29"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2</w:t>
            </w:r>
          </w:p>
        </w:tc>
        <w:tc>
          <w:tcPr>
            <w:tcW w:w="3824"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其中：年生均财政专项经费</w:t>
            </w:r>
          </w:p>
        </w:tc>
        <w:tc>
          <w:tcPr>
            <w:tcW w:w="103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元</w:t>
            </w:r>
          </w:p>
        </w:tc>
        <w:tc>
          <w:tcPr>
            <w:tcW w:w="972"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200</w:t>
            </w:r>
          </w:p>
        </w:tc>
        <w:tc>
          <w:tcPr>
            <w:tcW w:w="1061"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65</w:t>
            </w:r>
          </w:p>
        </w:tc>
      </w:tr>
      <w:tr>
        <w:tblPrEx>
          <w:tblLayout w:type="fixed"/>
          <w:tblCellMar>
            <w:top w:w="0" w:type="dxa"/>
            <w:left w:w="108" w:type="dxa"/>
            <w:bottom w:w="0" w:type="dxa"/>
            <w:right w:w="108" w:type="dxa"/>
          </w:tblCellMar>
        </w:tblPrEx>
        <w:trPr>
          <w:trHeight w:val="390" w:hRule="atLeast"/>
          <w:jc w:val="center"/>
        </w:trPr>
        <w:tc>
          <w:tcPr>
            <w:tcW w:w="793"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2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3</w:t>
            </w:r>
          </w:p>
        </w:tc>
        <w:tc>
          <w:tcPr>
            <w:tcW w:w="382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教职员工额定编制数</w:t>
            </w:r>
          </w:p>
        </w:tc>
        <w:tc>
          <w:tcPr>
            <w:tcW w:w="103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人</w:t>
            </w:r>
          </w:p>
        </w:tc>
        <w:tc>
          <w:tcPr>
            <w:tcW w:w="972"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100</w:t>
            </w:r>
          </w:p>
        </w:tc>
        <w:tc>
          <w:tcPr>
            <w:tcW w:w="1061"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98</w:t>
            </w:r>
          </w:p>
        </w:tc>
      </w:tr>
      <w:tr>
        <w:tblPrEx>
          <w:tblLayout w:type="fixed"/>
          <w:tblCellMar>
            <w:top w:w="0" w:type="dxa"/>
            <w:left w:w="108" w:type="dxa"/>
            <w:bottom w:w="0" w:type="dxa"/>
            <w:right w:w="108" w:type="dxa"/>
          </w:tblCellMar>
        </w:tblPrEx>
        <w:trPr>
          <w:trHeight w:val="390" w:hRule="atLeast"/>
          <w:jc w:val="center"/>
        </w:trPr>
        <w:tc>
          <w:tcPr>
            <w:tcW w:w="793"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2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824" w:type="dxa"/>
            <w:tcBorders>
              <w:top w:val="nil"/>
              <w:left w:val="nil"/>
              <w:bottom w:val="single" w:color="auto" w:sz="4" w:space="0"/>
              <w:right w:val="single" w:color="auto" w:sz="4" w:space="0"/>
            </w:tcBorders>
            <w:shd w:val="clear" w:color="000000" w:fill="FFFFFF"/>
            <w:vAlign w:val="center"/>
          </w:tcPr>
          <w:p>
            <w:pPr>
              <w:widowControl/>
              <w:spacing w:line="360" w:lineRule="auto"/>
              <w:ind w:firstLine="240" w:firstLineChars="100"/>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在岗教职员工总数</w:t>
            </w:r>
          </w:p>
        </w:tc>
        <w:tc>
          <w:tcPr>
            <w:tcW w:w="103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人</w:t>
            </w:r>
          </w:p>
        </w:tc>
        <w:tc>
          <w:tcPr>
            <w:tcW w:w="972"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100</w:t>
            </w:r>
          </w:p>
        </w:tc>
        <w:tc>
          <w:tcPr>
            <w:tcW w:w="1061"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98</w:t>
            </w:r>
          </w:p>
        </w:tc>
      </w:tr>
      <w:tr>
        <w:tblPrEx>
          <w:tblLayout w:type="fixed"/>
          <w:tblCellMar>
            <w:top w:w="0" w:type="dxa"/>
            <w:left w:w="108" w:type="dxa"/>
            <w:bottom w:w="0" w:type="dxa"/>
            <w:right w:w="108" w:type="dxa"/>
          </w:tblCellMar>
        </w:tblPrEx>
        <w:trPr>
          <w:trHeight w:val="390" w:hRule="atLeast"/>
          <w:jc w:val="center"/>
        </w:trPr>
        <w:tc>
          <w:tcPr>
            <w:tcW w:w="793"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29"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4</w:t>
            </w:r>
          </w:p>
        </w:tc>
        <w:tc>
          <w:tcPr>
            <w:tcW w:w="382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生均实习企业财政经费补贴</w:t>
            </w:r>
          </w:p>
        </w:tc>
        <w:tc>
          <w:tcPr>
            <w:tcW w:w="103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元/月</w:t>
            </w:r>
          </w:p>
        </w:tc>
        <w:tc>
          <w:tcPr>
            <w:tcW w:w="972"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hint="eastAsia" w:ascii="仿宋" w:hAnsi="仿宋" w:eastAsia="仿宋" w:cs="宋体"/>
                <w:color w:val="000000" w:themeColor="text1"/>
                <w:kern w:val="0"/>
                <w:sz w:val="24"/>
                <w:szCs w:val="24"/>
                <w:lang w:val="en-US" w:eastAsia="zh-CN"/>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无</w:t>
            </w:r>
          </w:p>
        </w:tc>
        <w:tc>
          <w:tcPr>
            <w:tcW w:w="1061"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hint="eastAsia" w:ascii="仿宋" w:hAnsi="仿宋" w:eastAsia="仿宋" w:cs="宋体"/>
                <w:color w:val="000000" w:themeColor="text1"/>
                <w:kern w:val="0"/>
                <w:sz w:val="24"/>
                <w:szCs w:val="24"/>
                <w:lang w:eastAsia="zh-CN"/>
                <w14:textFill>
                  <w14:solidFill>
                    <w14:schemeClr w14:val="tx1"/>
                  </w14:solidFill>
                </w14:textFill>
              </w:rPr>
            </w:pPr>
            <w:r>
              <w:rPr>
                <w:rFonts w:hint="eastAsia" w:ascii="仿宋" w:hAnsi="仿宋" w:eastAsia="仿宋" w:cs="宋体"/>
                <w:color w:val="000000" w:themeColor="text1"/>
                <w:kern w:val="0"/>
                <w:sz w:val="24"/>
                <w:szCs w:val="24"/>
                <w:lang w:eastAsia="zh-CN"/>
                <w14:textFill>
                  <w14:solidFill>
                    <w14:schemeClr w14:val="tx1"/>
                  </w14:solidFill>
                </w14:textFill>
              </w:rPr>
              <w:t>无</w:t>
            </w:r>
          </w:p>
        </w:tc>
      </w:tr>
      <w:tr>
        <w:tblPrEx>
          <w:tblLayout w:type="fixed"/>
          <w:tblCellMar>
            <w:top w:w="0" w:type="dxa"/>
            <w:left w:w="108" w:type="dxa"/>
            <w:bottom w:w="0" w:type="dxa"/>
            <w:right w:w="108" w:type="dxa"/>
          </w:tblCellMar>
        </w:tblPrEx>
        <w:trPr>
          <w:trHeight w:val="390" w:hRule="atLeast"/>
          <w:jc w:val="center"/>
        </w:trPr>
        <w:tc>
          <w:tcPr>
            <w:tcW w:w="793"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29"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5</w:t>
            </w:r>
          </w:p>
        </w:tc>
        <w:tc>
          <w:tcPr>
            <w:tcW w:w="382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生均企业实习责任保险补贴</w:t>
            </w:r>
          </w:p>
        </w:tc>
        <w:tc>
          <w:tcPr>
            <w:tcW w:w="103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元</w:t>
            </w:r>
          </w:p>
        </w:tc>
        <w:tc>
          <w:tcPr>
            <w:tcW w:w="972"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无</w:t>
            </w:r>
          </w:p>
        </w:tc>
        <w:tc>
          <w:tcPr>
            <w:tcW w:w="1061"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eastAsia="zh-CN"/>
                <w14:textFill>
                  <w14:solidFill>
                    <w14:schemeClr w14:val="tx1"/>
                  </w14:solidFill>
                </w14:textFill>
              </w:rPr>
              <w:t>无</w:t>
            </w:r>
          </w:p>
        </w:tc>
      </w:tr>
      <w:tr>
        <w:tblPrEx>
          <w:tblLayout w:type="fixed"/>
          <w:tblCellMar>
            <w:top w:w="0" w:type="dxa"/>
            <w:left w:w="108" w:type="dxa"/>
            <w:bottom w:w="0" w:type="dxa"/>
            <w:right w:w="108" w:type="dxa"/>
          </w:tblCellMar>
        </w:tblPrEx>
        <w:trPr>
          <w:trHeight w:val="390" w:hRule="atLeast"/>
          <w:jc w:val="center"/>
        </w:trPr>
        <w:tc>
          <w:tcPr>
            <w:tcW w:w="793"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29"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6</w:t>
            </w:r>
          </w:p>
        </w:tc>
        <w:tc>
          <w:tcPr>
            <w:tcW w:w="382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企业兼职教师人均财政补贴</w:t>
            </w:r>
          </w:p>
        </w:tc>
        <w:tc>
          <w:tcPr>
            <w:tcW w:w="103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元</w:t>
            </w:r>
          </w:p>
        </w:tc>
        <w:tc>
          <w:tcPr>
            <w:tcW w:w="972"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无</w:t>
            </w:r>
          </w:p>
        </w:tc>
        <w:tc>
          <w:tcPr>
            <w:tcW w:w="1061"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eastAsia="zh-CN"/>
                <w14:textFill>
                  <w14:solidFill>
                    <w14:schemeClr w14:val="tx1"/>
                  </w14:solidFill>
                </w14:textFill>
              </w:rPr>
              <w:t>无</w:t>
            </w:r>
          </w:p>
        </w:tc>
      </w:tr>
      <w:tr>
        <w:tblPrEx>
          <w:tblLayout w:type="fixed"/>
          <w:tblCellMar>
            <w:top w:w="0" w:type="dxa"/>
            <w:left w:w="108" w:type="dxa"/>
            <w:bottom w:w="0" w:type="dxa"/>
            <w:right w:w="108" w:type="dxa"/>
          </w:tblCellMar>
        </w:tblPrEx>
        <w:trPr>
          <w:trHeight w:val="390" w:hRule="atLeast"/>
          <w:jc w:val="center"/>
        </w:trPr>
        <w:tc>
          <w:tcPr>
            <w:tcW w:w="793"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29"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7</w:t>
            </w:r>
          </w:p>
        </w:tc>
        <w:tc>
          <w:tcPr>
            <w:tcW w:w="382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专任教师总数</w:t>
            </w:r>
          </w:p>
        </w:tc>
        <w:tc>
          <w:tcPr>
            <w:tcW w:w="103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人</w:t>
            </w:r>
          </w:p>
        </w:tc>
        <w:tc>
          <w:tcPr>
            <w:tcW w:w="972"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85</w:t>
            </w:r>
          </w:p>
        </w:tc>
        <w:tc>
          <w:tcPr>
            <w:tcW w:w="1061"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85</w:t>
            </w:r>
          </w:p>
        </w:tc>
      </w:tr>
      <w:tr>
        <w:tblPrEx>
          <w:tblLayout w:type="fixed"/>
          <w:tblCellMar>
            <w:top w:w="0" w:type="dxa"/>
            <w:left w:w="108" w:type="dxa"/>
            <w:bottom w:w="0" w:type="dxa"/>
            <w:right w:w="108" w:type="dxa"/>
          </w:tblCellMar>
        </w:tblPrEx>
        <w:trPr>
          <w:trHeight w:val="390" w:hRule="atLeast"/>
          <w:jc w:val="center"/>
        </w:trPr>
        <w:tc>
          <w:tcPr>
            <w:tcW w:w="793"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8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2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p>
        </w:tc>
        <w:tc>
          <w:tcPr>
            <w:tcW w:w="382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专任教师参加省级培训量</w:t>
            </w:r>
          </w:p>
        </w:tc>
        <w:tc>
          <w:tcPr>
            <w:tcW w:w="1034"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人日</w:t>
            </w:r>
          </w:p>
        </w:tc>
        <w:tc>
          <w:tcPr>
            <w:tcW w:w="972"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3</w:t>
            </w:r>
          </w:p>
        </w:tc>
        <w:tc>
          <w:tcPr>
            <w:tcW w:w="1061" w:type="dxa"/>
            <w:tcBorders>
              <w:top w:val="nil"/>
              <w:left w:val="nil"/>
              <w:bottom w:val="single" w:color="auto" w:sz="4" w:space="0"/>
              <w:right w:val="single" w:color="auto" w:sz="4" w:space="0"/>
            </w:tcBorders>
            <w:shd w:val="clear" w:color="000000" w:fill="FFFFFF"/>
            <w:vAlign w:val="center"/>
          </w:tcPr>
          <w:p>
            <w:pPr>
              <w:widowControl/>
              <w:spacing w:line="360" w:lineRule="auto"/>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lang w:val="en-US" w:eastAsia="zh-CN"/>
                <w14:textFill>
                  <w14:solidFill>
                    <w14:schemeClr w14:val="tx1"/>
                  </w14:solidFill>
                </w14:textFill>
              </w:rPr>
              <w:t>6</w:t>
            </w:r>
          </w:p>
        </w:tc>
      </w:tr>
    </w:tbl>
    <w:p>
      <w:pPr>
        <w:widowControl/>
        <w:snapToGrid w:val="0"/>
        <w:spacing w:line="520" w:lineRule="exact"/>
        <w:ind w:firstLine="422" w:firstLineChars="200"/>
        <w:jc w:val="center"/>
        <w:rPr>
          <w:rFonts w:ascii="楷体" w:hAnsi="楷体" w:eastAsia="楷体"/>
          <w:b/>
          <w:color w:val="000000" w:themeColor="text1"/>
          <w:szCs w:val="21"/>
          <w14:textFill>
            <w14:solidFill>
              <w14:schemeClr w14:val="tx1"/>
            </w14:solidFill>
          </w14:textFill>
        </w:rPr>
      </w:pPr>
    </w:p>
    <w:p>
      <w:pPr>
        <w:widowControl/>
        <w:snapToGrid w:val="0"/>
        <w:spacing w:line="520" w:lineRule="exact"/>
        <w:jc w:val="center"/>
        <w:rPr>
          <w:rFonts w:ascii="仿宋_GB2312" w:eastAsia="仿宋_GB2312"/>
          <w:color w:val="000000" w:themeColor="text1"/>
          <w:sz w:val="32"/>
          <w:szCs w:val="32"/>
          <w14:textFill>
            <w14:solidFill>
              <w14:schemeClr w14:val="tx1"/>
            </w14:solidFill>
          </w14:textFill>
        </w:rPr>
      </w:pPr>
      <w:r>
        <w:rPr>
          <w:rFonts w:ascii="楷体" w:hAnsi="楷体" w:eastAsia="楷体"/>
          <w:b/>
          <w:color w:val="000000" w:themeColor="text1"/>
          <w:szCs w:val="21"/>
          <w14:textFill>
            <w14:solidFill>
              <w14:schemeClr w14:val="tx1"/>
            </w14:solidFill>
          </w14:textFill>
        </w:rPr>
        <w:br w:type="page"/>
      </w:r>
      <w:r>
        <w:rPr>
          <w:rFonts w:hint="eastAsia" w:ascii="仿宋_GB2312" w:eastAsia="仿宋_GB2312"/>
          <w:color w:val="000000" w:themeColor="text1"/>
          <w:sz w:val="32"/>
          <w:szCs w:val="32"/>
          <w14:textFill>
            <w14:solidFill>
              <w14:schemeClr w14:val="tx1"/>
            </w14:solidFill>
          </w14:textFill>
        </w:rPr>
        <w:t>附件5</w:t>
      </w:r>
    </w:p>
    <w:p>
      <w:pPr>
        <w:snapToGrid w:val="0"/>
        <w:spacing w:after="156" w:afterLines="50"/>
        <w:jc w:val="center"/>
        <w:outlineLvl w:val="0"/>
        <w:rPr>
          <w:rFonts w:ascii="方正小标宋简体" w:hAnsi="Times New Roman" w:eastAsia="方正小标宋简体" w:cs="宋体"/>
          <w:color w:val="000000" w:themeColor="text1"/>
          <w:kern w:val="0"/>
          <w:sz w:val="36"/>
          <w:szCs w:val="36"/>
          <w14:textFill>
            <w14:solidFill>
              <w14:schemeClr w14:val="tx1"/>
            </w14:solidFill>
          </w14:textFill>
        </w:rPr>
      </w:pPr>
      <w:r>
        <w:rPr>
          <w:rFonts w:hint="eastAsia" w:ascii="方正小标宋简体" w:hAnsi="Times New Roman" w:eastAsia="方正小标宋简体" w:cs="宋体"/>
          <w:color w:val="000000" w:themeColor="text1"/>
          <w:kern w:val="0"/>
          <w:sz w:val="36"/>
          <w:szCs w:val="36"/>
          <w14:textFill>
            <w14:solidFill>
              <w14:schemeClr w14:val="tx1"/>
            </w14:solidFill>
          </w14:textFill>
        </w:rPr>
        <w:t>填 写 说 明</w:t>
      </w:r>
    </w:p>
    <w:p>
      <w:pPr>
        <w:widowControl/>
        <w:snapToGrid w:val="0"/>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1.“计分卡”“资源表”“服务贡献表”和“落实政策表”中的</w:t>
      </w:r>
      <w:r>
        <w:rPr>
          <w:rFonts w:hint="eastAsia" w:ascii="仿宋_GB2312" w:eastAsia="仿宋_GB2312"/>
          <w:color w:val="000000" w:themeColor="text1"/>
          <w:sz w:val="32"/>
          <w:szCs w:val="32"/>
          <w14:textFill>
            <w14:solidFill>
              <w14:schemeClr w14:val="tx1"/>
            </w14:solidFill>
          </w14:textFill>
        </w:rPr>
        <w:t>“院校代码”须与“高等职业院校人才培养工作状态数据”一致。</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2.“院校名称”须填写学校全称。</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3.相关数据须与“高等职业院校人才培养工作状态数据”一致。例如，“全日制高等职业学历教育在校生折算数”以状态数据平台填报数为准。</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4.除特别说明外，相关数据统计时限截止为至2015年9月1日。</w:t>
      </w:r>
    </w:p>
    <w:p>
      <w:pPr>
        <w:spacing w:line="520" w:lineRule="exact"/>
        <w:ind w:firstLine="640" w:firstLineChars="200"/>
        <w:jc w:val="center"/>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5.请注意对照表格中写明的计量单位，只填报数据不填数据单位，如有小数保留两位。</w:t>
      </w:r>
    </w:p>
    <w:p>
      <w:pPr>
        <w:widowControl/>
        <w:spacing w:line="560" w:lineRule="exact"/>
        <w:jc w:val="center"/>
        <w:rPr>
          <w:rFonts w:ascii="仿宋_GB2312" w:eastAsia="仿宋_GB2312"/>
          <w:color w:val="000000" w:themeColor="text1"/>
          <w:sz w:val="30"/>
          <w:szCs w:val="30"/>
          <w14:textFill>
            <w14:solidFill>
              <w14:schemeClr w14:val="tx1"/>
            </w14:solidFill>
          </w14:textFill>
        </w:rPr>
      </w:pPr>
    </w:p>
    <w:sectPr>
      <w:footerReference r:id="rId3" w:type="default"/>
      <w:pgSz w:w="11906" w:h="16838"/>
      <w:pgMar w:top="1440" w:right="1797" w:bottom="1701" w:left="1814"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icrosoft YaHei UI Light">
    <w:altName w:val="宋体"/>
    <w:panose1 w:val="020B0502040204020203"/>
    <w:charset w:val="86"/>
    <w:family w:val="auto"/>
    <w:pitch w:val="default"/>
    <w:sig w:usb0="00000000" w:usb1="00000000" w:usb2="00000016" w:usb3="00000000" w:csb0="0004001F"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FangSong_GB2312">
    <w:altName w:val="仿宋_GB2312"/>
    <w:panose1 w:val="02010609060101010101"/>
    <w:charset w:val="86"/>
    <w:family w:val="modern"/>
    <w:pitch w:val="default"/>
    <w:sig w:usb0="00000000" w:usb1="00000000" w:usb2="00000016" w:usb3="00000000" w:csb0="00040001" w:csb1="00000000"/>
  </w:font>
  <w:font w:name="MingLiU">
    <w:panose1 w:val="02020509000000000000"/>
    <w:charset w:val="88"/>
    <w:family w:val="moder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PingFang SC">
    <w:altName w:val="Segoe Print"/>
    <w:panose1 w:val="00000000000000000000"/>
    <w:charset w:val="00"/>
    <w:family w:val="auto"/>
    <w:pitch w:val="default"/>
    <w:sig w:usb0="00000000" w:usb1="00000000" w:usb2="00000000" w:usb3="00000000" w:csb0="00040001" w:csb1="00000000"/>
  </w:font>
  <w:font w:name="Simang">
    <w:altName w:val="微软雅黑"/>
    <w:panose1 w:val="00000000000000000000"/>
    <w:charset w:val="86"/>
    <w:family w:val="auto"/>
    <w:pitch w:val="default"/>
    <w:sig w:usb0="00000000" w:usb1="00000000" w:usb2="00000010" w:usb3="00000000" w:csb0="00040000" w:csb1="00000000"/>
  </w:font>
  <w:font w:name="MingLiU_x0004_falt">
    <w:altName w:val="PMingLiU"/>
    <w:panose1 w:val="00000000000000000000"/>
    <w:charset w:val="88"/>
    <w:family w:val="modern"/>
    <w:pitch w:val="default"/>
    <w:sig w:usb0="00000000" w:usb1="00000000" w:usb2="00000010" w:usb3="00000000" w:csb0="00100000" w:csb1="00000000"/>
  </w:font>
  <w:font w:name="MingLiUfalt">
    <w:altName w:val="MingLiU"/>
    <w:panose1 w:val="00000000000000000000"/>
    <w:charset w:val="88"/>
    <w:family w:val="modern"/>
    <w:pitch w:val="default"/>
    <w:sig w:usb0="00000000" w:usb1="00000000" w:usb2="00000010" w:usb3="00000000" w:csb0="00100000" w:csb1="00000000"/>
  </w:font>
  <w:font w:name="MS Mincho">
    <w:panose1 w:val="02020609040205080304"/>
    <w:charset w:val="80"/>
    <w:family w:val="modern"/>
    <w:pitch w:val="default"/>
    <w:sig w:usb0="E00002FF" w:usb1="6AC7FDFB" w:usb2="00000012" w:usb3="00000000" w:csb0="4002009F" w:csb1="DFD70000"/>
  </w:font>
  <w:font w:name="Tahoma">
    <w:panose1 w:val="020B0604030504040204"/>
    <w:charset w:val="00"/>
    <w:family w:val="swiss"/>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auto"/>
    <w:pitch w:val="default"/>
    <w:sig w:usb0="00000000" w:usb1="00000000" w:usb2="00000000" w:usb3="00000000" w:csb0="00000001" w:csb1="00000000"/>
  </w:font>
  <w:font w:name="Verdana">
    <w:panose1 w:val="020B0604030504040204"/>
    <w:charset w:val="00"/>
    <w:family w:val="swiss"/>
    <w:pitch w:val="default"/>
    <w:sig w:usb0="A10006FF" w:usb1="4000205B" w:usb2="00000010" w:usb3="00000000" w:csb0="2000019F"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w:t>
    </w:r>
    <w:r>
      <w:t xml:space="preserve"> 2 -</w:t>
    </w:r>
    <w:r>
      <w:fldChar w:fldCharType="end"/>
    </w:r>
  </w:p>
  <w:p>
    <w:pPr>
      <w:pStyle w:val="3"/>
      <w:rPr>
        <w:sz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4F"/>
    <w:rsid w:val="00005FD1"/>
    <w:rsid w:val="000243FB"/>
    <w:rsid w:val="0003560A"/>
    <w:rsid w:val="0006104C"/>
    <w:rsid w:val="00070E94"/>
    <w:rsid w:val="00081EB9"/>
    <w:rsid w:val="000B0BEA"/>
    <w:rsid w:val="000D174F"/>
    <w:rsid w:val="00175FBE"/>
    <w:rsid w:val="00194673"/>
    <w:rsid w:val="0019678F"/>
    <w:rsid w:val="00255882"/>
    <w:rsid w:val="00262A62"/>
    <w:rsid w:val="002B38BE"/>
    <w:rsid w:val="002F40A1"/>
    <w:rsid w:val="003255CD"/>
    <w:rsid w:val="00344676"/>
    <w:rsid w:val="003963E2"/>
    <w:rsid w:val="003C678C"/>
    <w:rsid w:val="003D0838"/>
    <w:rsid w:val="004D75E5"/>
    <w:rsid w:val="0050198E"/>
    <w:rsid w:val="00503263"/>
    <w:rsid w:val="00503EB8"/>
    <w:rsid w:val="00533AE0"/>
    <w:rsid w:val="005D5505"/>
    <w:rsid w:val="005F7042"/>
    <w:rsid w:val="006029EC"/>
    <w:rsid w:val="00623D6C"/>
    <w:rsid w:val="00641192"/>
    <w:rsid w:val="006F2F23"/>
    <w:rsid w:val="007353F1"/>
    <w:rsid w:val="00764561"/>
    <w:rsid w:val="00793559"/>
    <w:rsid w:val="00795CCE"/>
    <w:rsid w:val="00796EF1"/>
    <w:rsid w:val="007B2488"/>
    <w:rsid w:val="008060E3"/>
    <w:rsid w:val="00842C57"/>
    <w:rsid w:val="009211C8"/>
    <w:rsid w:val="009471D7"/>
    <w:rsid w:val="009976D9"/>
    <w:rsid w:val="009D7968"/>
    <w:rsid w:val="00A01DCE"/>
    <w:rsid w:val="00A74C22"/>
    <w:rsid w:val="00A76DB1"/>
    <w:rsid w:val="00A86E9D"/>
    <w:rsid w:val="00B45E03"/>
    <w:rsid w:val="00B5420B"/>
    <w:rsid w:val="00BB650D"/>
    <w:rsid w:val="00BD399B"/>
    <w:rsid w:val="00C0058D"/>
    <w:rsid w:val="00C33D38"/>
    <w:rsid w:val="00C71B16"/>
    <w:rsid w:val="00CC6D4C"/>
    <w:rsid w:val="00D6085C"/>
    <w:rsid w:val="00D638CC"/>
    <w:rsid w:val="00DA72CF"/>
    <w:rsid w:val="00DB78F6"/>
    <w:rsid w:val="00E120E3"/>
    <w:rsid w:val="00E56D90"/>
    <w:rsid w:val="00EB357D"/>
    <w:rsid w:val="00EC17BF"/>
    <w:rsid w:val="00F30F4C"/>
    <w:rsid w:val="00F32646"/>
    <w:rsid w:val="00F46A24"/>
    <w:rsid w:val="00F536ED"/>
    <w:rsid w:val="00FB18FD"/>
    <w:rsid w:val="00FE1163"/>
    <w:rsid w:val="02881E25"/>
    <w:rsid w:val="05460C8E"/>
    <w:rsid w:val="076451AD"/>
    <w:rsid w:val="1AE53F47"/>
    <w:rsid w:val="1D430A05"/>
    <w:rsid w:val="25681C2A"/>
    <w:rsid w:val="36EE7B96"/>
    <w:rsid w:val="3F9F4B57"/>
    <w:rsid w:val="448B3D6B"/>
    <w:rsid w:val="484D4019"/>
    <w:rsid w:val="494E321D"/>
    <w:rsid w:val="72F938FE"/>
    <w:rsid w:val="7A986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bCs/>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mycomputer</Company>
  <Pages>9</Pages>
  <Words>2504</Words>
  <Characters>2576</Characters>
  <Lines>21</Lines>
  <Paragraphs>6</Paragraphs>
  <ScaleCrop>false</ScaleCrop>
  <LinksUpToDate>false</LinksUpToDate>
  <CharactersWithSpaces>2677</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2017-09-10T07:01:00Z</dcterms:created>
  <dc:creator>张磊</dc:creator>
  <cp:lastModifiedBy>pc</cp:lastModifiedBy>
  <cp:lastPrinted>2015-10-20T01:27:00Z</cp:lastPrinted>
  <dcterms:modified xsi:type="dcterms:W3CDTF">2018-01-06T03:07:21Z</dcterms:modified>
  <dc:title>附件1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